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C41B" w14:textId="26611C55" w:rsidR="00F93D91" w:rsidRPr="00101994" w:rsidRDefault="00F93D91" w:rsidP="00101994">
      <w:pPr>
        <w:pStyle w:val="Heading1"/>
        <w:spacing w:before="0"/>
        <w:ind w:left="2576" w:right="2575"/>
        <w:jc w:val="center"/>
        <w:rPr>
          <w:sz w:val="36"/>
        </w:rPr>
      </w:pPr>
      <w:r w:rsidRPr="00101994">
        <w:rPr>
          <w:sz w:val="36"/>
        </w:rPr>
        <w:t>RY</w:t>
      </w:r>
      <w:r w:rsidRPr="00101994">
        <w:rPr>
          <w:spacing w:val="-1"/>
          <w:sz w:val="36"/>
        </w:rPr>
        <w:t xml:space="preserve"> </w:t>
      </w:r>
      <w:r w:rsidRPr="00101994">
        <w:rPr>
          <w:sz w:val="36"/>
        </w:rPr>
        <w:t>2023</w:t>
      </w:r>
      <w:r w:rsidRPr="00101994">
        <w:rPr>
          <w:spacing w:val="-2"/>
          <w:sz w:val="36"/>
        </w:rPr>
        <w:t xml:space="preserve"> </w:t>
      </w:r>
      <w:r w:rsidRPr="00101994">
        <w:rPr>
          <w:sz w:val="36"/>
        </w:rPr>
        <w:t>Contractor</w:t>
      </w:r>
      <w:r w:rsidRPr="00101994">
        <w:rPr>
          <w:spacing w:val="-2"/>
          <w:sz w:val="36"/>
        </w:rPr>
        <w:t xml:space="preserve"> </w:t>
      </w:r>
      <w:r w:rsidRPr="00101994">
        <w:rPr>
          <w:sz w:val="36"/>
        </w:rPr>
        <w:t>Roles</w:t>
      </w:r>
      <w:r w:rsidRPr="00101994">
        <w:rPr>
          <w:spacing w:val="-2"/>
          <w:sz w:val="36"/>
        </w:rPr>
        <w:t xml:space="preserve"> </w:t>
      </w:r>
      <w:r w:rsidRPr="00101994">
        <w:rPr>
          <w:sz w:val="36"/>
        </w:rPr>
        <w:t>and</w:t>
      </w:r>
      <w:r w:rsidRPr="00101994">
        <w:rPr>
          <w:spacing w:val="-3"/>
          <w:sz w:val="36"/>
        </w:rPr>
        <w:t xml:space="preserve"> </w:t>
      </w:r>
      <w:r w:rsidRPr="00101994">
        <w:rPr>
          <w:sz w:val="36"/>
        </w:rPr>
        <w:t>Responsibilities</w:t>
      </w:r>
    </w:p>
    <w:p w14:paraId="65AE3405" w14:textId="77777777" w:rsidR="00F93D91" w:rsidRDefault="00F93D91" w:rsidP="00F93D91">
      <w:pPr>
        <w:pStyle w:val="BodyText"/>
        <w:rPr>
          <w:b/>
        </w:rPr>
      </w:pPr>
    </w:p>
    <w:p w14:paraId="670E9974" w14:textId="76BCE8DC" w:rsidR="00F93D91" w:rsidRPr="00101994" w:rsidRDefault="00F93D91" w:rsidP="007026EC">
      <w:pPr>
        <w:spacing w:before="1" w:after="0" w:line="240" w:lineRule="auto"/>
        <w:rPr>
          <w:rFonts w:ascii="Times New Roman" w:hAnsi="Times New Roman" w:cs="Times New Roman"/>
          <w:b/>
          <w:sz w:val="28"/>
        </w:rPr>
      </w:pPr>
      <w:r w:rsidRPr="00101994">
        <w:rPr>
          <w:rFonts w:ascii="Times New Roman" w:hAnsi="Times New Roman" w:cs="Times New Roman"/>
          <w:b/>
          <w:sz w:val="28"/>
        </w:rPr>
        <w:t>RY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2023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Statistical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Contractor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(SC)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–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The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Lewin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Group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–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Responsible for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Sample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Selection,</w:t>
      </w:r>
      <w:r w:rsidRPr="00101994">
        <w:rPr>
          <w:rFonts w:ascii="Times New Roman" w:hAnsi="Times New Roman" w:cs="Times New Roman"/>
          <w:b/>
          <w:spacing w:val="-52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Populating</w:t>
      </w:r>
      <w:r w:rsidRPr="00101994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Claims, and</w:t>
      </w:r>
      <w:r w:rsidRPr="001019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Improper</w:t>
      </w:r>
      <w:r w:rsidRPr="0010199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Payment</w:t>
      </w:r>
      <w:r w:rsidRPr="0010199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Rate</w:t>
      </w:r>
      <w:r w:rsidRPr="0010199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01994">
        <w:rPr>
          <w:rFonts w:ascii="Times New Roman" w:hAnsi="Times New Roman" w:cs="Times New Roman"/>
          <w:b/>
          <w:sz w:val="28"/>
        </w:rPr>
        <w:t>Calculation</w:t>
      </w:r>
    </w:p>
    <w:p w14:paraId="3621D7B9" w14:textId="77777777" w:rsidR="00F93D91" w:rsidRDefault="00F93D91" w:rsidP="00101994">
      <w:pPr>
        <w:pStyle w:val="BodyText"/>
        <w:spacing w:before="6"/>
        <w:rPr>
          <w:b/>
          <w:sz w:val="21"/>
        </w:rPr>
      </w:pPr>
    </w:p>
    <w:p w14:paraId="4B5DB337" w14:textId="77777777" w:rsidR="00F93D91" w:rsidRDefault="00F93D91" w:rsidP="00101994">
      <w:pPr>
        <w:pStyle w:val="BodyText"/>
      </w:pPr>
      <w:r>
        <w:t>Each quarter throughout the fiscal year, the SC collects the universe of claims data for Medicaid and</w:t>
      </w:r>
      <w:r>
        <w:rPr>
          <w:spacing w:val="1"/>
        </w:rPr>
        <w:t xml:space="preserve"> </w:t>
      </w:r>
      <w:r>
        <w:rPr>
          <w:spacing w:val="-1"/>
        </w:rPr>
        <w:t>Children’s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10"/>
        </w:rPr>
        <w:t xml:space="preserve"> </w:t>
      </w:r>
      <w:r>
        <w:rPr>
          <w:spacing w:val="-1"/>
        </w:rPr>
        <w:t>Insurance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r>
        <w:t>(CHIP)</w:t>
      </w:r>
      <w:r>
        <w:rPr>
          <w:spacing w:val="-8"/>
        </w:rPr>
        <w:t xml:space="preserve"> </w:t>
      </w:r>
      <w:r>
        <w:t>Fee-For-Service</w:t>
      </w:r>
      <w:r>
        <w:rPr>
          <w:spacing w:val="-12"/>
        </w:rPr>
        <w:t xml:space="preserve"> </w:t>
      </w:r>
      <w:r>
        <w:t>(FFS)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managed</w:t>
      </w:r>
      <w:r>
        <w:rPr>
          <w:spacing w:val="-9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states.</w:t>
      </w:r>
      <w:r>
        <w:rPr>
          <w:spacing w:val="-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universe</w:t>
      </w:r>
      <w:r>
        <w:rPr>
          <w:spacing w:val="-12"/>
        </w:rPr>
        <w:t xml:space="preserve"> </w:t>
      </w:r>
      <w:r>
        <w:rPr>
          <w:spacing w:val="-1"/>
        </w:rPr>
        <w:t>includes</w:t>
      </w:r>
      <w:r>
        <w:rPr>
          <w:spacing w:val="-12"/>
        </w:rPr>
        <w:t xml:space="preserve"> </w:t>
      </w:r>
      <w:r>
        <w:rPr>
          <w:spacing w:val="-1"/>
        </w:rPr>
        <w:t>claims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matched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XIX</w:t>
      </w:r>
      <w:r>
        <w:rPr>
          <w:spacing w:val="-11"/>
        </w:rPr>
        <w:t xml:space="preserve"> </w:t>
      </w:r>
      <w:r>
        <w:t>(Medicaid)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XXI</w:t>
      </w:r>
      <w:r>
        <w:rPr>
          <w:spacing w:val="-14"/>
        </w:rPr>
        <w:t xml:space="preserve"> </w:t>
      </w:r>
      <w:r>
        <w:t>(CHIP)</w:t>
      </w:r>
      <w:r>
        <w:rPr>
          <w:spacing w:val="-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Financial</w:t>
      </w:r>
      <w:r>
        <w:rPr>
          <w:spacing w:val="-52"/>
        </w:rPr>
        <w:t xml:space="preserve"> </w:t>
      </w:r>
      <w:r>
        <w:t>Participation</w:t>
      </w:r>
      <w:r>
        <w:rPr>
          <w:spacing w:val="22"/>
        </w:rPr>
        <w:t xml:space="preserve"> </w:t>
      </w:r>
      <w:r>
        <w:t>(FFP),</w:t>
      </w:r>
      <w:r>
        <w:rPr>
          <w:spacing w:val="22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payments</w:t>
      </w:r>
      <w:r>
        <w:rPr>
          <w:spacing w:val="22"/>
        </w:rPr>
        <w:t xml:space="preserve"> </w:t>
      </w:r>
      <w:r>
        <w:t>made</w:t>
      </w:r>
      <w:r>
        <w:rPr>
          <w:spacing w:val="22"/>
        </w:rPr>
        <w:t xml:space="preserve"> </w:t>
      </w:r>
      <w:r>
        <w:t>outside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state's</w:t>
      </w:r>
      <w:r>
        <w:rPr>
          <w:spacing w:val="22"/>
        </w:rPr>
        <w:t xml:space="preserve"> </w:t>
      </w:r>
      <w:r>
        <w:t>Medicaid</w:t>
      </w:r>
      <w:r>
        <w:rPr>
          <w:spacing w:val="19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Information</w:t>
      </w:r>
      <w:r>
        <w:rPr>
          <w:spacing w:val="-5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(MMIS).</w:t>
      </w:r>
    </w:p>
    <w:p w14:paraId="64B12B1B" w14:textId="77777777" w:rsidR="00F93D91" w:rsidRDefault="00F93D91" w:rsidP="00101994">
      <w:pPr>
        <w:pStyle w:val="BodyText"/>
        <w:spacing w:before="1"/>
      </w:pPr>
    </w:p>
    <w:p w14:paraId="7BCF9AC0" w14:textId="77777777" w:rsidR="00F93D91" w:rsidRDefault="00F93D91" w:rsidP="00101994">
      <w:pPr>
        <w:pStyle w:val="BodyText"/>
        <w:ind w:right="115"/>
        <w:jc w:val="both"/>
      </w:pPr>
      <w:r>
        <w:t>The</w:t>
      </w:r>
      <w:r>
        <w:rPr>
          <w:spacing w:val="-8"/>
        </w:rPr>
        <w:t xml:space="preserve"> </w:t>
      </w:r>
      <w:r>
        <w:t>SC</w:t>
      </w:r>
      <w:r>
        <w:rPr>
          <w:spacing w:val="-8"/>
        </w:rPr>
        <w:t xml:space="preserve"> </w:t>
      </w:r>
      <w:r>
        <w:t>draws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random</w:t>
      </w:r>
      <w:r>
        <w:rPr>
          <w:spacing w:val="-11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quarterly</w:t>
      </w:r>
      <w:r>
        <w:rPr>
          <w:spacing w:val="-11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FFS,</w:t>
      </w:r>
      <w:r>
        <w:rPr>
          <w:spacing w:val="-9"/>
        </w:rPr>
        <w:t xml:space="preserve"> </w:t>
      </w:r>
      <w:r>
        <w:t>CHIP</w:t>
      </w:r>
      <w:r>
        <w:rPr>
          <w:spacing w:val="-5"/>
        </w:rPr>
        <w:t xml:space="preserve"> </w:t>
      </w:r>
      <w:r>
        <w:t>FFS,</w:t>
      </w:r>
      <w:r>
        <w:rPr>
          <w:spacing w:val="-9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managed</w:t>
      </w:r>
      <w:r>
        <w:rPr>
          <w:spacing w:val="-53"/>
        </w:rPr>
        <w:t xml:space="preserve"> </w:t>
      </w:r>
      <w:r>
        <w:t>care, and CHIP managed care universes submitted by the states. There are also state-specific sample sizes</w:t>
      </w:r>
      <w:r>
        <w:rPr>
          <w:spacing w:val="1"/>
        </w:rPr>
        <w:t xml:space="preserve"> </w:t>
      </w:r>
      <w:r>
        <w:t>based on the prior cycle improper payment rates and margin of error, as well as state expenditures, with a</w:t>
      </w:r>
      <w:r>
        <w:rPr>
          <w:spacing w:val="1"/>
        </w:rPr>
        <w:t xml:space="preserve"> </w:t>
      </w:r>
      <w:r>
        <w:t>sample size cap for Medicaid (1,800 FFS, 200 managed care, and 1,200 eligibility) and CHIP (1,080 FFS,</w:t>
      </w:r>
      <w:r>
        <w:rPr>
          <w:spacing w:val="-52"/>
        </w:rPr>
        <w:t xml:space="preserve"> </w:t>
      </w:r>
      <w:r>
        <w:t>120 managed care, and 800 for eligibility). Since claims data is submitted quarterly by the states, each</w:t>
      </w:r>
      <w:r>
        <w:rPr>
          <w:spacing w:val="1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universe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sampled</w:t>
      </w:r>
      <w:r>
        <w:rPr>
          <w:spacing w:val="-4"/>
        </w:rPr>
        <w:t xml:space="preserve"> </w:t>
      </w:r>
      <w:r>
        <w:t>accordingly.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drawing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</w:t>
      </w:r>
      <w:r>
        <w:rPr>
          <w:spacing w:val="-4"/>
        </w:rPr>
        <w:t xml:space="preserve"> </w:t>
      </w:r>
      <w:r>
        <w:t>sends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(RC), the</w:t>
      </w:r>
      <w:r>
        <w:rPr>
          <w:spacing w:val="-1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(ERC),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state.</w:t>
      </w:r>
    </w:p>
    <w:p w14:paraId="66709FD3" w14:textId="77777777" w:rsidR="00F93D91" w:rsidRDefault="00F93D91" w:rsidP="00101994">
      <w:pPr>
        <w:pStyle w:val="BodyText"/>
        <w:spacing w:before="10"/>
        <w:rPr>
          <w:sz w:val="21"/>
        </w:rPr>
      </w:pPr>
    </w:p>
    <w:p w14:paraId="09B04709" w14:textId="77777777" w:rsidR="00F93D91" w:rsidRDefault="00F93D91" w:rsidP="00101994">
      <w:pPr>
        <w:pStyle w:val="BodyText"/>
        <w:ind w:right="114"/>
        <w:jc w:val="both"/>
      </w:pP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routine</w:t>
      </w:r>
      <w:r>
        <w:rPr>
          <w:spacing w:val="-14"/>
        </w:rPr>
        <w:t xml:space="preserve"> </w:t>
      </w:r>
      <w:r>
        <w:t>PERM</w:t>
      </w:r>
      <w:r>
        <w:rPr>
          <w:spacing w:val="-14"/>
        </w:rPr>
        <w:t xml:space="preserve"> </w:t>
      </w:r>
      <w:r>
        <w:t>states,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FFS</w:t>
      </w:r>
      <w:r>
        <w:rPr>
          <w:spacing w:val="-15"/>
        </w:rPr>
        <w:t xml:space="preserve"> </w:t>
      </w:r>
      <w:r>
        <w:t>sample</w:t>
      </w:r>
      <w:r>
        <w:rPr>
          <w:spacing w:val="-14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contains</w:t>
      </w:r>
      <w:r>
        <w:rPr>
          <w:spacing w:val="-17"/>
        </w:rPr>
        <w:t xml:space="preserve"> </w:t>
      </w:r>
      <w:r>
        <w:t>minimum</w:t>
      </w:r>
      <w:r>
        <w:rPr>
          <w:spacing w:val="-16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so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enhance</w:t>
      </w:r>
      <w:r>
        <w:rPr>
          <w:spacing w:val="-52"/>
        </w:rPr>
        <w:t xml:space="preserve"> </w:t>
      </w:r>
      <w:r>
        <w:t>the information on the sampled FFS claims (submitting details). After the samples are populated and</w:t>
      </w:r>
      <w:r>
        <w:rPr>
          <w:spacing w:val="1"/>
        </w:rPr>
        <w:t xml:space="preserve"> </w:t>
      </w:r>
      <w:r>
        <w:t>returned to the SC, the SC standardizes the format of the claims data and sends it to the RC for medical</w:t>
      </w:r>
      <w:r>
        <w:rPr>
          <w:spacing w:val="1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requests.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PERM+</w:t>
      </w:r>
      <w:r>
        <w:rPr>
          <w:spacing w:val="-7"/>
        </w:rPr>
        <w:t xml:space="preserve"> </w:t>
      </w:r>
      <w:r>
        <w:t>states,</w:t>
      </w:r>
      <w:r>
        <w:rPr>
          <w:spacing w:val="-8"/>
        </w:rPr>
        <w:t xml:space="preserve"> </w:t>
      </w:r>
      <w:r>
        <w:t>enhanced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universe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</w:t>
      </w:r>
      <w:r>
        <w:rPr>
          <w:spacing w:val="-52"/>
        </w:rPr>
        <w:t xml:space="preserve"> </w:t>
      </w:r>
      <w:r>
        <w:t>sends</w:t>
      </w:r>
      <w:r>
        <w:rPr>
          <w:spacing w:val="-3"/>
        </w:rPr>
        <w:t xml:space="preserve"> </w:t>
      </w:r>
      <w:r>
        <w:t>claims data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RC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to populate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sample.</w:t>
      </w:r>
    </w:p>
    <w:p w14:paraId="4AA1CE87" w14:textId="77777777" w:rsidR="00F93D91" w:rsidRDefault="00F93D91" w:rsidP="00101994">
      <w:pPr>
        <w:pStyle w:val="BodyText"/>
        <w:spacing w:before="1"/>
      </w:pPr>
    </w:p>
    <w:p w14:paraId="3C7CFBF7" w14:textId="77777777" w:rsidR="00F93D91" w:rsidRDefault="00F93D91" w:rsidP="00101994">
      <w:pPr>
        <w:pStyle w:val="BodyText"/>
        <w:ind w:right="116"/>
        <w:jc w:val="both"/>
      </w:pP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PERM</w:t>
      </w:r>
      <w:r>
        <w:rPr>
          <w:spacing w:val="-10"/>
        </w:rPr>
        <w:t xml:space="preserve"> </w:t>
      </w:r>
      <w:r>
        <w:t>process,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</w:t>
      </w:r>
      <w:r>
        <w:rPr>
          <w:spacing w:val="-12"/>
        </w:rPr>
        <w:t xml:space="preserve"> </w:t>
      </w:r>
      <w:r>
        <w:t>calculates</w:t>
      </w:r>
      <w:r>
        <w:rPr>
          <w:spacing w:val="-10"/>
        </w:rPr>
        <w:t xml:space="preserve"> </w:t>
      </w:r>
      <w:r>
        <w:t>state-specific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Medicaid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CHIP</w:t>
      </w:r>
      <w:r>
        <w:rPr>
          <w:spacing w:val="-9"/>
        </w:rPr>
        <w:t xml:space="preserve"> </w:t>
      </w:r>
      <w:r>
        <w:t>improper</w:t>
      </w:r>
      <w:r>
        <w:rPr>
          <w:spacing w:val="-52"/>
        </w:rPr>
        <w:t xml:space="preserve"> </w:t>
      </w:r>
      <w:r>
        <w:t>payment rates</w:t>
      </w:r>
      <w:r>
        <w:rPr>
          <w:spacing w:val="-2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and by</w:t>
      </w:r>
      <w:r>
        <w:rPr>
          <w:spacing w:val="-3"/>
        </w:rPr>
        <w:t xml:space="preserve"> </w:t>
      </w:r>
      <w:r>
        <w:t>component.</w:t>
      </w:r>
    </w:p>
    <w:p w14:paraId="7D44C56C" w14:textId="77777777" w:rsidR="00F93D91" w:rsidRDefault="00F93D91" w:rsidP="00101994">
      <w:pPr>
        <w:rPr>
          <w:rFonts w:ascii="Times New Roman" w:hAnsi="Times New Roman" w:cs="Times New Roman"/>
          <w:b/>
          <w:bCs/>
        </w:rPr>
      </w:pPr>
    </w:p>
    <w:p w14:paraId="264DF3E7" w14:textId="410D7ECC" w:rsidR="001341B6" w:rsidRPr="00101994" w:rsidRDefault="00C93CED" w:rsidP="007026EC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101994">
        <w:rPr>
          <w:rFonts w:ascii="Times New Roman" w:hAnsi="Times New Roman" w:cs="Times New Roman"/>
          <w:b/>
          <w:bCs/>
          <w:sz w:val="28"/>
        </w:rPr>
        <w:t>RY 202</w:t>
      </w:r>
      <w:r w:rsidR="008D599F" w:rsidRPr="00101994">
        <w:rPr>
          <w:rFonts w:ascii="Times New Roman" w:hAnsi="Times New Roman" w:cs="Times New Roman"/>
          <w:b/>
          <w:bCs/>
          <w:sz w:val="28"/>
        </w:rPr>
        <w:t>3</w:t>
      </w:r>
      <w:r w:rsidRPr="00101994">
        <w:rPr>
          <w:rFonts w:ascii="Times New Roman" w:hAnsi="Times New Roman" w:cs="Times New Roman"/>
          <w:b/>
          <w:bCs/>
          <w:sz w:val="28"/>
        </w:rPr>
        <w:t xml:space="preserve"> Review Contractor</w:t>
      </w:r>
      <w:r w:rsidR="008D599F" w:rsidRPr="00101994">
        <w:rPr>
          <w:rFonts w:ascii="Times New Roman" w:hAnsi="Times New Roman" w:cs="Times New Roman"/>
          <w:b/>
          <w:bCs/>
          <w:sz w:val="28"/>
        </w:rPr>
        <w:t xml:space="preserve"> (RC)</w:t>
      </w:r>
      <w:r w:rsidRPr="00101994">
        <w:rPr>
          <w:rFonts w:ascii="Times New Roman" w:hAnsi="Times New Roman" w:cs="Times New Roman"/>
          <w:b/>
          <w:bCs/>
          <w:sz w:val="28"/>
        </w:rPr>
        <w:t xml:space="preserve"> </w:t>
      </w:r>
      <w:r w:rsidR="00871EAB" w:rsidRPr="00101994">
        <w:rPr>
          <w:rFonts w:ascii="Times New Roman" w:hAnsi="Times New Roman" w:cs="Times New Roman"/>
          <w:b/>
          <w:bCs/>
          <w:sz w:val="28"/>
        </w:rPr>
        <w:t>–</w:t>
      </w:r>
      <w:r w:rsidRPr="00101994">
        <w:rPr>
          <w:rFonts w:ascii="Times New Roman" w:hAnsi="Times New Roman" w:cs="Times New Roman"/>
          <w:b/>
          <w:bCs/>
          <w:sz w:val="28"/>
        </w:rPr>
        <w:t xml:space="preserve"> NCI</w:t>
      </w:r>
      <w:r w:rsidR="00871EAB" w:rsidRPr="00101994">
        <w:rPr>
          <w:rFonts w:ascii="Times New Roman" w:hAnsi="Times New Roman" w:cs="Times New Roman"/>
          <w:b/>
          <w:bCs/>
          <w:sz w:val="28"/>
        </w:rPr>
        <w:t xml:space="preserve"> Information Systems</w:t>
      </w:r>
      <w:r w:rsidRPr="00101994">
        <w:rPr>
          <w:rFonts w:ascii="Times New Roman" w:hAnsi="Times New Roman" w:cs="Times New Roman"/>
          <w:b/>
          <w:bCs/>
          <w:sz w:val="28"/>
        </w:rPr>
        <w:t xml:space="preserve">, </w:t>
      </w:r>
      <w:r w:rsidR="00871EAB" w:rsidRPr="00101994">
        <w:rPr>
          <w:rFonts w:ascii="Times New Roman" w:hAnsi="Times New Roman" w:cs="Times New Roman"/>
          <w:b/>
          <w:bCs/>
          <w:sz w:val="28"/>
        </w:rPr>
        <w:t xml:space="preserve">Inc. </w:t>
      </w:r>
      <w:r w:rsidRPr="00101994">
        <w:rPr>
          <w:rFonts w:ascii="Times New Roman" w:hAnsi="Times New Roman" w:cs="Times New Roman"/>
          <w:b/>
          <w:bCs/>
          <w:sz w:val="28"/>
        </w:rPr>
        <w:t xml:space="preserve"> – Responsible for Policy Collection, Medical Records Requests, Medical </w:t>
      </w:r>
      <w:proofErr w:type="gramStart"/>
      <w:r w:rsidR="00871EAB" w:rsidRPr="00101994">
        <w:rPr>
          <w:rFonts w:ascii="Times New Roman" w:hAnsi="Times New Roman" w:cs="Times New Roman"/>
          <w:b/>
          <w:bCs/>
          <w:sz w:val="28"/>
        </w:rPr>
        <w:t xml:space="preserve">Reviews,  </w:t>
      </w:r>
      <w:r w:rsidRPr="00101994">
        <w:rPr>
          <w:rFonts w:ascii="Times New Roman" w:hAnsi="Times New Roman" w:cs="Times New Roman"/>
          <w:b/>
          <w:bCs/>
          <w:sz w:val="28"/>
        </w:rPr>
        <w:t>Data</w:t>
      </w:r>
      <w:proofErr w:type="gramEnd"/>
      <w:r w:rsidRPr="00101994">
        <w:rPr>
          <w:rFonts w:ascii="Times New Roman" w:hAnsi="Times New Roman" w:cs="Times New Roman"/>
          <w:b/>
          <w:bCs/>
          <w:sz w:val="28"/>
        </w:rPr>
        <w:t xml:space="preserve"> Processing</w:t>
      </w:r>
      <w:r w:rsidR="00AF2E86" w:rsidRPr="00101994">
        <w:rPr>
          <w:rFonts w:ascii="Times New Roman" w:hAnsi="Times New Roman" w:cs="Times New Roman"/>
          <w:b/>
          <w:bCs/>
          <w:sz w:val="28"/>
        </w:rPr>
        <w:t xml:space="preserve"> (DP) </w:t>
      </w:r>
      <w:r w:rsidRPr="00101994">
        <w:rPr>
          <w:rFonts w:ascii="Times New Roman" w:hAnsi="Times New Roman" w:cs="Times New Roman"/>
          <w:b/>
          <w:bCs/>
          <w:sz w:val="28"/>
        </w:rPr>
        <w:t xml:space="preserve"> Reviews</w:t>
      </w:r>
      <w:r w:rsidR="00871EAB" w:rsidRPr="00101994">
        <w:rPr>
          <w:rFonts w:ascii="Times New Roman" w:hAnsi="Times New Roman" w:cs="Times New Roman"/>
          <w:b/>
          <w:bCs/>
          <w:sz w:val="28"/>
        </w:rPr>
        <w:t xml:space="preserve"> and maintenance of the State Medicaid Error Rate Findings (SMERF) system</w:t>
      </w:r>
    </w:p>
    <w:p w14:paraId="77154DB6" w14:textId="29AA1947" w:rsidR="00C93CED" w:rsidRDefault="00C93CED">
      <w:pPr>
        <w:rPr>
          <w:rFonts w:ascii="Times New Roman" w:hAnsi="Times New Roman" w:cs="Times New Roman"/>
        </w:rPr>
      </w:pPr>
      <w:r w:rsidRPr="00C93CED">
        <w:rPr>
          <w:rFonts w:ascii="Times New Roman" w:hAnsi="Times New Roman" w:cs="Times New Roman"/>
        </w:rPr>
        <w:t xml:space="preserve">The RC </w:t>
      </w:r>
      <w:r w:rsidR="001F24D6">
        <w:rPr>
          <w:rFonts w:ascii="Times New Roman" w:hAnsi="Times New Roman" w:cs="Times New Roman"/>
        </w:rPr>
        <w:t>c</w:t>
      </w:r>
      <w:r w:rsidRPr="00C93CED">
        <w:rPr>
          <w:rFonts w:ascii="Times New Roman" w:hAnsi="Times New Roman" w:cs="Times New Roman"/>
        </w:rPr>
        <w:t>ollects state Medicaid and CH</w:t>
      </w:r>
      <w:r w:rsidR="001F24D6">
        <w:rPr>
          <w:rFonts w:ascii="Times New Roman" w:hAnsi="Times New Roman" w:cs="Times New Roman"/>
        </w:rPr>
        <w:t>I</w:t>
      </w:r>
      <w:r w:rsidRPr="00C93CED">
        <w:rPr>
          <w:rFonts w:ascii="Times New Roman" w:hAnsi="Times New Roman" w:cs="Times New Roman"/>
        </w:rPr>
        <w:t xml:space="preserve">P policies </w:t>
      </w:r>
      <w:r w:rsidR="00AF2E86">
        <w:rPr>
          <w:rFonts w:ascii="Times New Roman" w:hAnsi="Times New Roman" w:cs="Times New Roman"/>
        </w:rPr>
        <w:t xml:space="preserve">and federal policies </w:t>
      </w:r>
      <w:r w:rsidRPr="00C93CED">
        <w:rPr>
          <w:rFonts w:ascii="Times New Roman" w:hAnsi="Times New Roman" w:cs="Times New Roman"/>
        </w:rPr>
        <w:t xml:space="preserve">that are used for medical and data processing reviews. </w:t>
      </w:r>
    </w:p>
    <w:p w14:paraId="5C9156A6" w14:textId="5F35D9EE" w:rsidR="00C93CED" w:rsidRDefault="00C93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the RC receives the sample list from the </w:t>
      </w:r>
      <w:r w:rsidR="008D599F">
        <w:rPr>
          <w:rFonts w:ascii="Times New Roman" w:hAnsi="Times New Roman" w:cs="Times New Roman"/>
        </w:rPr>
        <w:t>PERM Statistical Contractor (</w:t>
      </w:r>
      <w:r>
        <w:rPr>
          <w:rFonts w:ascii="Times New Roman" w:hAnsi="Times New Roman" w:cs="Times New Roman"/>
        </w:rPr>
        <w:t>SC</w:t>
      </w:r>
      <w:r w:rsidR="008D599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the RC be</w:t>
      </w:r>
      <w:r w:rsidR="008D599F">
        <w:rPr>
          <w:rFonts w:ascii="Times New Roman" w:hAnsi="Times New Roman" w:cs="Times New Roman"/>
        </w:rPr>
        <w:t>gins</w:t>
      </w:r>
      <w:r>
        <w:rPr>
          <w:rFonts w:ascii="Times New Roman" w:hAnsi="Times New Roman" w:cs="Times New Roman"/>
        </w:rPr>
        <w:t xml:space="preserve"> </w:t>
      </w:r>
      <w:r w:rsidR="008D599F">
        <w:rPr>
          <w:rFonts w:ascii="Times New Roman" w:hAnsi="Times New Roman" w:cs="Times New Roman"/>
        </w:rPr>
        <w:t xml:space="preserve">collecting </w:t>
      </w:r>
      <w:r>
        <w:rPr>
          <w:rFonts w:ascii="Times New Roman" w:hAnsi="Times New Roman" w:cs="Times New Roman"/>
        </w:rPr>
        <w:t>documentation from state systems for each sampled claim</w:t>
      </w:r>
      <w:r w:rsidR="00AF2E8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For</w:t>
      </w:r>
      <w:r w:rsidR="008D599F">
        <w:rPr>
          <w:rFonts w:ascii="Times New Roman" w:hAnsi="Times New Roman" w:cs="Times New Roman"/>
        </w:rPr>
        <w:t xml:space="preserve"> Fee </w:t>
      </w:r>
      <w:proofErr w:type="gramStart"/>
      <w:r w:rsidR="008D599F">
        <w:rPr>
          <w:rFonts w:ascii="Times New Roman" w:hAnsi="Times New Roman" w:cs="Times New Roman"/>
        </w:rPr>
        <w:t>For</w:t>
      </w:r>
      <w:proofErr w:type="gramEnd"/>
      <w:r w:rsidR="008D599F">
        <w:rPr>
          <w:rFonts w:ascii="Times New Roman" w:hAnsi="Times New Roman" w:cs="Times New Roman"/>
        </w:rPr>
        <w:t xml:space="preserve"> Service (</w:t>
      </w:r>
      <w:r>
        <w:rPr>
          <w:rFonts w:ascii="Times New Roman" w:hAnsi="Times New Roman" w:cs="Times New Roman"/>
        </w:rPr>
        <w:t>FFS</w:t>
      </w:r>
      <w:r w:rsidR="008D599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claims, the data processing review includes examining line items </w:t>
      </w:r>
      <w:r w:rsidR="00BB6F6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each claim to validate that it was processed correctly.  </w:t>
      </w:r>
      <w:r w:rsidR="00AF2E86">
        <w:rPr>
          <w:rFonts w:ascii="Times New Roman" w:hAnsi="Times New Roman" w:cs="Times New Roman"/>
        </w:rPr>
        <w:t xml:space="preserve"> DP</w:t>
      </w:r>
      <w:r>
        <w:rPr>
          <w:rFonts w:ascii="Times New Roman" w:hAnsi="Times New Roman" w:cs="Times New Roman"/>
        </w:rPr>
        <w:t xml:space="preserve"> reviews </w:t>
      </w:r>
      <w:r w:rsidR="00871EAB">
        <w:rPr>
          <w:rFonts w:ascii="Times New Roman" w:hAnsi="Times New Roman" w:cs="Times New Roman"/>
        </w:rPr>
        <w:t xml:space="preserve">are conducted </w:t>
      </w:r>
      <w:r>
        <w:rPr>
          <w:rFonts w:ascii="Times New Roman" w:hAnsi="Times New Roman" w:cs="Times New Roman"/>
        </w:rPr>
        <w:t>on managed care claims</w:t>
      </w:r>
      <w:r w:rsidR="00871EAB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r w:rsidR="00AF2E86">
        <w:rPr>
          <w:rFonts w:ascii="Times New Roman" w:hAnsi="Times New Roman" w:cs="Times New Roman"/>
        </w:rPr>
        <w:t xml:space="preserve">check </w:t>
      </w:r>
      <w:r>
        <w:rPr>
          <w:rFonts w:ascii="Times New Roman" w:hAnsi="Times New Roman" w:cs="Times New Roman"/>
        </w:rPr>
        <w:t>the accuracy of the processing of the capitation payment or premium</w:t>
      </w:r>
      <w:r w:rsidR="008D599F">
        <w:rPr>
          <w:rFonts w:ascii="Times New Roman" w:hAnsi="Times New Roman" w:cs="Times New Roman"/>
        </w:rPr>
        <w:t>.</w:t>
      </w:r>
    </w:p>
    <w:p w14:paraId="7FA4EBAA" w14:textId="1B4AD3F0" w:rsidR="00C93CED" w:rsidRDefault="00BB6F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the </w:t>
      </w:r>
      <w:r w:rsidR="00AF2E86">
        <w:rPr>
          <w:rFonts w:ascii="Times New Roman" w:hAnsi="Times New Roman" w:cs="Times New Roman"/>
        </w:rPr>
        <w:t>full claims details files</w:t>
      </w:r>
      <w:r>
        <w:rPr>
          <w:rFonts w:ascii="Times New Roman" w:hAnsi="Times New Roman" w:cs="Times New Roman"/>
        </w:rPr>
        <w:t xml:space="preserve"> are received from the SC, </w:t>
      </w:r>
      <w:r w:rsidR="00AF2E86">
        <w:rPr>
          <w:rFonts w:ascii="Times New Roman" w:hAnsi="Times New Roman" w:cs="Times New Roman"/>
        </w:rPr>
        <w:t xml:space="preserve">the RC </w:t>
      </w:r>
      <w:r>
        <w:rPr>
          <w:rFonts w:ascii="Times New Roman" w:hAnsi="Times New Roman" w:cs="Times New Roman"/>
        </w:rPr>
        <w:t>begins sending</w:t>
      </w:r>
      <w:r w:rsidR="00AF2E86">
        <w:rPr>
          <w:rFonts w:ascii="Times New Roman" w:hAnsi="Times New Roman" w:cs="Times New Roman"/>
        </w:rPr>
        <w:t xml:space="preserve"> medical records requests </w:t>
      </w:r>
      <w:r>
        <w:rPr>
          <w:rFonts w:ascii="Times New Roman" w:hAnsi="Times New Roman" w:cs="Times New Roman"/>
        </w:rPr>
        <w:t>to</w:t>
      </w:r>
      <w:r w:rsidR="00AF2E86">
        <w:rPr>
          <w:rFonts w:ascii="Times New Roman" w:hAnsi="Times New Roman" w:cs="Times New Roman"/>
        </w:rPr>
        <w:t xml:space="preserve"> the providers.  The RC’s customer service representatives contact providers associated with the sampled </w:t>
      </w:r>
      <w:r w:rsidR="00C93CED">
        <w:rPr>
          <w:rFonts w:ascii="Times New Roman" w:hAnsi="Times New Roman" w:cs="Times New Roman"/>
        </w:rPr>
        <w:t xml:space="preserve">FFS claims to obtain copies of </w:t>
      </w:r>
      <w:r>
        <w:rPr>
          <w:rFonts w:ascii="Times New Roman" w:hAnsi="Times New Roman" w:cs="Times New Roman"/>
        </w:rPr>
        <w:t xml:space="preserve">the </w:t>
      </w:r>
      <w:r w:rsidR="00AF2E86">
        <w:rPr>
          <w:rFonts w:ascii="Times New Roman" w:hAnsi="Times New Roman" w:cs="Times New Roman"/>
        </w:rPr>
        <w:t xml:space="preserve">associated </w:t>
      </w:r>
      <w:r w:rsidR="00C93CED">
        <w:rPr>
          <w:rFonts w:ascii="Times New Roman" w:hAnsi="Times New Roman" w:cs="Times New Roman"/>
        </w:rPr>
        <w:t>medical records</w:t>
      </w:r>
      <w:r w:rsidR="00AF2E86">
        <w:rPr>
          <w:rFonts w:ascii="Times New Roman" w:hAnsi="Times New Roman" w:cs="Times New Roman"/>
        </w:rPr>
        <w:t xml:space="preserve">. </w:t>
      </w:r>
      <w:r w:rsidR="00C93CED">
        <w:rPr>
          <w:rFonts w:ascii="Times New Roman" w:hAnsi="Times New Roman" w:cs="Times New Roman"/>
        </w:rPr>
        <w:t xml:space="preserve">Providers have 75 calendar </w:t>
      </w:r>
      <w:r w:rsidR="00C93CED">
        <w:rPr>
          <w:rFonts w:ascii="Times New Roman" w:hAnsi="Times New Roman" w:cs="Times New Roman"/>
        </w:rPr>
        <w:lastRenderedPageBreak/>
        <w:t>days to send copies of medical records for the selected claim. If the provider does not respond, the state is notified of an error due to no documentation.</w:t>
      </w:r>
    </w:p>
    <w:p w14:paraId="0E340F89" w14:textId="4E65AF1E" w:rsidR="00871EAB" w:rsidRDefault="0087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records are received, t</w:t>
      </w:r>
      <w:r w:rsidR="00C93CED">
        <w:rPr>
          <w:rFonts w:ascii="Times New Roman" w:hAnsi="Times New Roman" w:cs="Times New Roman"/>
        </w:rPr>
        <w:t>he RC performs medical reviews</w:t>
      </w:r>
      <w:r>
        <w:rPr>
          <w:rFonts w:ascii="Times New Roman" w:hAnsi="Times New Roman" w:cs="Times New Roman"/>
        </w:rPr>
        <w:t xml:space="preserve"> (MR)</w:t>
      </w:r>
      <w:r w:rsidR="00C93CED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 xml:space="preserve">these </w:t>
      </w:r>
      <w:r w:rsidR="00C93CED">
        <w:rPr>
          <w:rFonts w:ascii="Times New Roman" w:hAnsi="Times New Roman" w:cs="Times New Roman"/>
        </w:rPr>
        <w:t xml:space="preserve">FFS claims.  The RC examines the medical record to ensure there is documentation that supports </w:t>
      </w:r>
      <w:r>
        <w:rPr>
          <w:rFonts w:ascii="Times New Roman" w:hAnsi="Times New Roman" w:cs="Times New Roman"/>
        </w:rPr>
        <w:t>the service(s) were</w:t>
      </w:r>
      <w:r w:rsidR="00212A8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covered according to state policy, </w:t>
      </w:r>
      <w:r w:rsidR="00C93CED">
        <w:rPr>
          <w:rFonts w:ascii="Times New Roman" w:hAnsi="Times New Roman" w:cs="Times New Roman"/>
        </w:rPr>
        <w:t>medical</w:t>
      </w:r>
      <w:r>
        <w:rPr>
          <w:rFonts w:ascii="Times New Roman" w:hAnsi="Times New Roman" w:cs="Times New Roman"/>
        </w:rPr>
        <w:t>ly</w:t>
      </w:r>
      <w:r w:rsidR="00212A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necessary and </w:t>
      </w:r>
      <w:r w:rsidR="00C93CED">
        <w:rPr>
          <w:rFonts w:ascii="Times New Roman" w:hAnsi="Times New Roman" w:cs="Times New Roman"/>
        </w:rPr>
        <w:t>cod</w:t>
      </w:r>
      <w:r w:rsidR="00212A81">
        <w:rPr>
          <w:rFonts w:ascii="Times New Roman" w:hAnsi="Times New Roman" w:cs="Times New Roman"/>
        </w:rPr>
        <w:t>ed</w:t>
      </w:r>
      <w:r w:rsidR="00C93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accurately. </w:t>
      </w:r>
      <w:r w:rsidR="00C93CED">
        <w:rPr>
          <w:rFonts w:ascii="Times New Roman" w:hAnsi="Times New Roman" w:cs="Times New Roman"/>
        </w:rPr>
        <w:t xml:space="preserve">  If the record does not co</w:t>
      </w:r>
      <w:r w:rsidR="00E368B7">
        <w:rPr>
          <w:rFonts w:ascii="Times New Roman" w:hAnsi="Times New Roman" w:cs="Times New Roman"/>
        </w:rPr>
        <w:t>ntain sufficient documentation,</w:t>
      </w:r>
      <w:r w:rsidR="00C93CED">
        <w:rPr>
          <w:rFonts w:ascii="Times New Roman" w:hAnsi="Times New Roman" w:cs="Times New Roman"/>
        </w:rPr>
        <w:t xml:space="preserve"> the provider has 14 days to provide the missing documentation. </w:t>
      </w:r>
      <w:r>
        <w:rPr>
          <w:rFonts w:ascii="Times New Roman" w:hAnsi="Times New Roman" w:cs="Times New Roman"/>
        </w:rPr>
        <w:t>Errors are cited for reviews with missing documents. (Managed care claims are not subject to medical reviews because there is no specific service rendered on which to make a medical necessity determination.)</w:t>
      </w:r>
    </w:p>
    <w:p w14:paraId="628838AF" w14:textId="63CF908F" w:rsidR="001F4BD3" w:rsidRDefault="0087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93CED">
        <w:rPr>
          <w:rFonts w:ascii="Times New Roman" w:hAnsi="Times New Roman" w:cs="Times New Roman"/>
        </w:rPr>
        <w:t xml:space="preserve">he findings </w:t>
      </w:r>
      <w:r>
        <w:rPr>
          <w:rFonts w:ascii="Times New Roman" w:hAnsi="Times New Roman" w:cs="Times New Roman"/>
        </w:rPr>
        <w:t xml:space="preserve">of </w:t>
      </w:r>
      <w:r w:rsidR="002F52A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MR, DP </w:t>
      </w:r>
      <w:r w:rsidR="002F52AC">
        <w:rPr>
          <w:rFonts w:ascii="Times New Roman" w:hAnsi="Times New Roman" w:cs="Times New Roman"/>
        </w:rPr>
        <w:t>reviews and the findings of the e</w:t>
      </w:r>
      <w:r>
        <w:rPr>
          <w:rFonts w:ascii="Times New Roman" w:hAnsi="Times New Roman" w:cs="Times New Roman"/>
        </w:rPr>
        <w:t>ligibility reviews</w:t>
      </w:r>
      <w:r w:rsidR="002F52AC">
        <w:rPr>
          <w:rFonts w:ascii="Times New Roman" w:hAnsi="Times New Roman" w:cs="Times New Roman"/>
        </w:rPr>
        <w:t xml:space="preserve"> (performed by Eligibility Review Contractor)</w:t>
      </w:r>
      <w:r>
        <w:rPr>
          <w:rFonts w:ascii="Times New Roman" w:hAnsi="Times New Roman" w:cs="Times New Roman"/>
        </w:rPr>
        <w:t xml:space="preserve"> </w:t>
      </w:r>
      <w:r w:rsidR="00C93CED">
        <w:rPr>
          <w:rFonts w:ascii="Times New Roman" w:hAnsi="Times New Roman" w:cs="Times New Roman"/>
        </w:rPr>
        <w:t>are posted to the RC’s secure website, S</w:t>
      </w:r>
      <w:r w:rsidR="00D10953">
        <w:rPr>
          <w:rFonts w:ascii="Times New Roman" w:hAnsi="Times New Roman" w:cs="Times New Roman"/>
        </w:rPr>
        <w:t>t</w:t>
      </w:r>
      <w:r w:rsidR="00C93CED">
        <w:rPr>
          <w:rFonts w:ascii="Times New Roman" w:hAnsi="Times New Roman" w:cs="Times New Roman"/>
        </w:rPr>
        <w:t xml:space="preserve">ate Medicaid Error Rate Findings (SMERF), which can be reviewed by each state. </w:t>
      </w:r>
      <w:r w:rsidR="002F52AC">
        <w:rPr>
          <w:rFonts w:ascii="Times New Roman" w:hAnsi="Times New Roman" w:cs="Times New Roman"/>
        </w:rPr>
        <w:t>Using SMERF, states may monitor error citations.  If a state disagrees with an error, a Difference Resolution (</w:t>
      </w:r>
      <w:proofErr w:type="gramStart"/>
      <w:r w:rsidR="002F52AC">
        <w:rPr>
          <w:rFonts w:ascii="Times New Roman" w:hAnsi="Times New Roman" w:cs="Times New Roman"/>
        </w:rPr>
        <w:t>DR)  may</w:t>
      </w:r>
      <w:proofErr w:type="gramEnd"/>
      <w:r w:rsidR="002F52AC">
        <w:rPr>
          <w:rFonts w:ascii="Times New Roman" w:hAnsi="Times New Roman" w:cs="Times New Roman"/>
        </w:rPr>
        <w:t xml:space="preserve"> be requested </w:t>
      </w:r>
      <w:r w:rsidR="00837330">
        <w:rPr>
          <w:rFonts w:ascii="Times New Roman" w:hAnsi="Times New Roman" w:cs="Times New Roman"/>
        </w:rPr>
        <w:t xml:space="preserve">in SMERF </w:t>
      </w:r>
      <w:r w:rsidR="002F52AC">
        <w:rPr>
          <w:rFonts w:ascii="Times New Roman" w:hAnsi="Times New Roman" w:cs="Times New Roman"/>
        </w:rPr>
        <w:t xml:space="preserve">within 25 </w:t>
      </w:r>
      <w:r w:rsidR="001F4BD3">
        <w:rPr>
          <w:rFonts w:ascii="Times New Roman" w:hAnsi="Times New Roman" w:cs="Times New Roman"/>
        </w:rPr>
        <w:t xml:space="preserve">business </w:t>
      </w:r>
      <w:r w:rsidR="002F52AC">
        <w:rPr>
          <w:rFonts w:ascii="Times New Roman" w:hAnsi="Times New Roman" w:cs="Times New Roman"/>
        </w:rPr>
        <w:t xml:space="preserve">days of the error posting to the Statistical Unit Disposition (SUD) report. </w:t>
      </w:r>
      <w:r w:rsidR="002625D9">
        <w:rPr>
          <w:rFonts w:ascii="Times New Roman" w:hAnsi="Times New Roman" w:cs="Times New Roman"/>
        </w:rPr>
        <w:t>I</w:t>
      </w:r>
      <w:r w:rsidR="003F7C96">
        <w:rPr>
          <w:rFonts w:ascii="Times New Roman" w:hAnsi="Times New Roman" w:cs="Times New Roman"/>
        </w:rPr>
        <w:t xml:space="preserve">f a state disagrees with </w:t>
      </w:r>
      <w:r w:rsidR="002625D9">
        <w:rPr>
          <w:rFonts w:ascii="Times New Roman" w:hAnsi="Times New Roman" w:cs="Times New Roman"/>
        </w:rPr>
        <w:t xml:space="preserve">the DR decision, </w:t>
      </w:r>
      <w:proofErr w:type="gramStart"/>
      <w:r w:rsidR="002625D9">
        <w:rPr>
          <w:rFonts w:ascii="Times New Roman" w:hAnsi="Times New Roman" w:cs="Times New Roman"/>
        </w:rPr>
        <w:t xml:space="preserve">an </w:t>
      </w:r>
      <w:r w:rsidR="002F52AC">
        <w:rPr>
          <w:rFonts w:ascii="Times New Roman" w:hAnsi="Times New Roman" w:cs="Times New Roman"/>
        </w:rPr>
        <w:t xml:space="preserve"> appeal</w:t>
      </w:r>
      <w:proofErr w:type="gramEnd"/>
      <w:r w:rsidR="003F7C96">
        <w:rPr>
          <w:rFonts w:ascii="Times New Roman" w:hAnsi="Times New Roman" w:cs="Times New Roman"/>
        </w:rPr>
        <w:t xml:space="preserve"> </w:t>
      </w:r>
      <w:r w:rsidR="002625D9">
        <w:rPr>
          <w:rFonts w:ascii="Times New Roman" w:hAnsi="Times New Roman" w:cs="Times New Roman"/>
        </w:rPr>
        <w:t xml:space="preserve">request may be filed in SMERF within 15 business days of the </w:t>
      </w:r>
      <w:r w:rsidR="003F7C96">
        <w:rPr>
          <w:rFonts w:ascii="Times New Roman" w:hAnsi="Times New Roman" w:cs="Times New Roman"/>
        </w:rPr>
        <w:t>DR decision</w:t>
      </w:r>
      <w:r w:rsidR="002F52AC">
        <w:rPr>
          <w:rFonts w:ascii="Times New Roman" w:hAnsi="Times New Roman" w:cs="Times New Roman"/>
        </w:rPr>
        <w:t>.</w:t>
      </w:r>
      <w:r w:rsidR="002625D9">
        <w:rPr>
          <w:rFonts w:ascii="Times New Roman" w:hAnsi="Times New Roman" w:cs="Times New Roman"/>
        </w:rPr>
        <w:t xml:space="preserve"> </w:t>
      </w:r>
      <w:r w:rsidR="00BB6F65">
        <w:rPr>
          <w:rFonts w:ascii="Times New Roman" w:hAnsi="Times New Roman" w:cs="Times New Roman"/>
        </w:rPr>
        <w:t>CMS will make the final appeal decision.</w:t>
      </w:r>
    </w:p>
    <w:p w14:paraId="5024601D" w14:textId="168E0CA8" w:rsidR="00C93CED" w:rsidRDefault="00656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review cycle ends, the RC sends the full set of detailed findings for all review types to the SC for use in the improper payment calculations. </w:t>
      </w:r>
    </w:p>
    <w:p w14:paraId="5862BB3C" w14:textId="77777777" w:rsidR="00F93D91" w:rsidRDefault="00F93D91" w:rsidP="00101994">
      <w:pPr>
        <w:pStyle w:val="BodyText"/>
        <w:spacing w:before="3"/>
      </w:pPr>
    </w:p>
    <w:p w14:paraId="5EB5DB51" w14:textId="2CE9A8A6" w:rsidR="00F93D91" w:rsidRPr="00101994" w:rsidRDefault="00F93D91" w:rsidP="007026EC">
      <w:pPr>
        <w:pStyle w:val="Heading1"/>
        <w:ind w:left="0" w:right="115"/>
        <w:jc w:val="both"/>
        <w:rPr>
          <w:sz w:val="28"/>
        </w:rPr>
      </w:pPr>
      <w:r w:rsidRPr="00101994">
        <w:rPr>
          <w:sz w:val="28"/>
        </w:rPr>
        <w:t>RY 2023 Eligibility Review Contractor (ERC) – Booz Allen Hamilton – Responsible for Eligibility</w:t>
      </w:r>
      <w:r w:rsidRPr="00101994">
        <w:rPr>
          <w:spacing w:val="1"/>
          <w:sz w:val="28"/>
        </w:rPr>
        <w:t xml:space="preserve"> </w:t>
      </w:r>
      <w:r w:rsidRPr="00101994">
        <w:rPr>
          <w:sz w:val="28"/>
        </w:rPr>
        <w:t>Policy</w:t>
      </w:r>
      <w:r w:rsidRPr="00101994">
        <w:rPr>
          <w:spacing w:val="-1"/>
          <w:sz w:val="28"/>
        </w:rPr>
        <w:t xml:space="preserve"> </w:t>
      </w:r>
      <w:r w:rsidRPr="00101994">
        <w:rPr>
          <w:sz w:val="28"/>
        </w:rPr>
        <w:t>Collection</w:t>
      </w:r>
      <w:r w:rsidRPr="00101994">
        <w:rPr>
          <w:spacing w:val="-1"/>
          <w:sz w:val="28"/>
        </w:rPr>
        <w:t xml:space="preserve"> </w:t>
      </w:r>
      <w:r w:rsidRPr="00101994">
        <w:rPr>
          <w:sz w:val="28"/>
        </w:rPr>
        <w:t>and</w:t>
      </w:r>
      <w:r w:rsidRPr="00101994">
        <w:rPr>
          <w:spacing w:val="-1"/>
          <w:sz w:val="28"/>
        </w:rPr>
        <w:t xml:space="preserve"> </w:t>
      </w:r>
      <w:r w:rsidRPr="00101994">
        <w:rPr>
          <w:sz w:val="28"/>
        </w:rPr>
        <w:t>Eligibility Case</w:t>
      </w:r>
      <w:r w:rsidRPr="00101994">
        <w:rPr>
          <w:spacing w:val="-2"/>
          <w:sz w:val="28"/>
        </w:rPr>
        <w:t xml:space="preserve"> </w:t>
      </w:r>
      <w:r w:rsidRPr="00101994">
        <w:rPr>
          <w:sz w:val="28"/>
        </w:rPr>
        <w:t>Review</w:t>
      </w:r>
    </w:p>
    <w:p w14:paraId="01AB8932" w14:textId="77777777" w:rsidR="00F93D91" w:rsidRDefault="00F93D91" w:rsidP="00101994">
      <w:pPr>
        <w:pStyle w:val="BodyText"/>
        <w:spacing w:before="6"/>
        <w:rPr>
          <w:b/>
          <w:sz w:val="21"/>
        </w:rPr>
      </w:pPr>
    </w:p>
    <w:p w14:paraId="2CBB03AE" w14:textId="77777777" w:rsidR="00F93D91" w:rsidRDefault="00F93D91" w:rsidP="00101994">
      <w:pPr>
        <w:pStyle w:val="BodyText"/>
        <w:ind w:right="116"/>
        <w:jc w:val="both"/>
      </w:pPr>
      <w:r>
        <w:t>The ERC is responsible for obtaining, organizing, and maintaining federal and state eligibility policies for the PERM</w:t>
      </w:r>
      <w:r>
        <w:rPr>
          <w:spacing w:val="1"/>
        </w:rPr>
        <w:t xml:space="preserve"> </w:t>
      </w:r>
      <w:r>
        <w:t>program by working with states and CMS to coordinate and conduct all tasks. This ensures the ERC is</w:t>
      </w:r>
      <w:r>
        <w:rPr>
          <w:spacing w:val="1"/>
        </w:rPr>
        <w:t xml:space="preserve"> </w:t>
      </w:r>
      <w:r>
        <w:t>familiar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eligibility</w:t>
      </w:r>
      <w:r>
        <w:rPr>
          <w:spacing w:val="-13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(policy</w:t>
      </w:r>
      <w:r>
        <w:rPr>
          <w:spacing w:val="-13"/>
        </w:rPr>
        <w:t xml:space="preserve"> </w:t>
      </w:r>
      <w:r>
        <w:t>content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application,</w:t>
      </w:r>
      <w:r>
        <w:rPr>
          <w:spacing w:val="-11"/>
        </w:rPr>
        <w:t xml:space="preserve"> </w:t>
      </w:r>
      <w:r>
        <w:t>location,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form</w:t>
      </w:r>
      <w:bookmarkStart w:id="0" w:name="_GoBack"/>
      <w:bookmarkEnd w:id="0"/>
      <w:r>
        <w:t>at)</w:t>
      </w:r>
      <w:r>
        <w:rPr>
          <w:spacing w:val="-9"/>
        </w:rPr>
        <w:t xml:space="preserve"> </w:t>
      </w:r>
      <w:r>
        <w:t>prior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PERM</w:t>
      </w:r>
      <w:r>
        <w:rPr>
          <w:spacing w:val="-2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review.</w:t>
      </w:r>
    </w:p>
    <w:p w14:paraId="1D88ECC1" w14:textId="77777777" w:rsidR="00F93D91" w:rsidRDefault="00F93D91" w:rsidP="00101994">
      <w:pPr>
        <w:pStyle w:val="BodyText"/>
        <w:spacing w:before="11"/>
        <w:rPr>
          <w:sz w:val="21"/>
        </w:rPr>
      </w:pPr>
    </w:p>
    <w:p w14:paraId="28EF579F" w14:textId="77777777" w:rsidR="00F93D91" w:rsidRDefault="00F93D91" w:rsidP="00101994">
      <w:pPr>
        <w:pStyle w:val="BodyText"/>
        <w:ind w:right="121"/>
        <w:jc w:val="both"/>
      </w:pPr>
      <w:r>
        <w:t>The ERC is also responsible for obtaining remote access to state eligibility and document management systems,</w:t>
      </w:r>
      <w:r>
        <w:rPr>
          <w:spacing w:val="1"/>
        </w:rPr>
        <w:t xml:space="preserve"> </w:t>
      </w:r>
      <w:r>
        <w:t>prior to the start of</w:t>
      </w:r>
      <w:r>
        <w:rPr>
          <w:spacing w:val="1"/>
        </w:rPr>
        <w:t xml:space="preserve"> </w:t>
      </w:r>
      <w:r>
        <w:t>the eligibility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cycle,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</w:t>
      </w:r>
      <w:r>
        <w:rPr>
          <w:spacing w:val="1"/>
        </w:rPr>
        <w:t xml:space="preserve">t </w:t>
      </w:r>
      <w:r>
        <w:t>case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documentation needed to complete eligibility reviews.</w:t>
      </w:r>
    </w:p>
    <w:p w14:paraId="01012863" w14:textId="77777777" w:rsidR="00F93D91" w:rsidRDefault="00F93D91" w:rsidP="00101994">
      <w:pPr>
        <w:pStyle w:val="BodyText"/>
        <w:spacing w:before="1"/>
      </w:pPr>
    </w:p>
    <w:p w14:paraId="2477053B" w14:textId="77777777" w:rsidR="00F93D91" w:rsidRDefault="00F93D91" w:rsidP="00101994">
      <w:pPr>
        <w:pStyle w:val="BodyText"/>
        <w:spacing w:before="1"/>
        <w:ind w:right="115"/>
        <w:jc w:val="both"/>
      </w:pPr>
      <w:r>
        <w:t>The ERC reviews state eligibility determinations that made individuals eligible on the Date of Service</w:t>
      </w:r>
      <w:r>
        <w:rPr>
          <w:spacing w:val="1"/>
        </w:rPr>
        <w:t xml:space="preserve"> </w:t>
      </w:r>
      <w:r>
        <w:rPr>
          <w:spacing w:val="-1"/>
        </w:rPr>
        <w:t>(DOS)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claim</w:t>
      </w:r>
      <w:r>
        <w:rPr>
          <w:spacing w:val="-16"/>
        </w:rPr>
        <w:t xml:space="preserve"> </w:t>
      </w:r>
      <w:r>
        <w:rPr>
          <w:spacing w:val="-1"/>
        </w:rPr>
        <w:t>payment</w:t>
      </w:r>
      <w:r>
        <w:rPr>
          <w:spacing w:val="-13"/>
        </w:rPr>
        <w:t xml:space="preserve"> </w:t>
      </w:r>
      <w:r>
        <w:rPr>
          <w:spacing w:val="-1"/>
        </w:rPr>
        <w:t>sampled.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ERC</w:t>
      </w:r>
      <w:r>
        <w:rPr>
          <w:spacing w:val="-16"/>
        </w:rPr>
        <w:t xml:space="preserve"> </w:t>
      </w:r>
      <w:r>
        <w:t>reviews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state's</w:t>
      </w:r>
      <w:r>
        <w:rPr>
          <w:spacing w:val="-12"/>
        </w:rPr>
        <w:t xml:space="preserve"> </w:t>
      </w:r>
      <w:r>
        <w:t>eligibility</w:t>
      </w:r>
      <w:r>
        <w:rPr>
          <w:spacing w:val="-15"/>
        </w:rPr>
        <w:t xml:space="preserve"> </w:t>
      </w:r>
      <w:r>
        <w:t>determination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53"/>
        </w:rPr>
        <w:t xml:space="preserve"> </w:t>
      </w:r>
      <w:r>
        <w:t>with federal and state policies. If the eligibility case file does not contain sufficient documentation to</w:t>
      </w:r>
      <w:r>
        <w:rPr>
          <w:spacing w:val="1"/>
        </w:rPr>
        <w:t xml:space="preserve"> </w:t>
      </w:r>
      <w:r>
        <w:t xml:space="preserve">support the state's determination, states have 30 days to provide missing documentation. </w:t>
      </w:r>
      <w:proofErr w:type="gramStart"/>
      <w:r w:rsidRPr="00644BF0">
        <w:t>Starting  in</w:t>
      </w:r>
      <w:proofErr w:type="gramEnd"/>
      <w:r w:rsidRPr="00644BF0">
        <w:t xml:space="preserve">  RY  2022,  the  ERC  will  accept  additional  documentation  submitted  by  the  state  in  support of case reviews through the end of the cycle for ER1</w:t>
      </w:r>
      <w:r>
        <w:t>s</w:t>
      </w:r>
      <w:r w:rsidRPr="00644BF0">
        <w:t>, ER2</w:t>
      </w:r>
      <w:r>
        <w:t>s</w:t>
      </w:r>
      <w:r w:rsidRPr="00644BF0">
        <w:t xml:space="preserve"> and ER3</w:t>
      </w:r>
      <w:r>
        <w:t>s</w:t>
      </w:r>
      <w:r w:rsidRPr="00644BF0">
        <w:t xml:space="preserve"> and will update error findings when appropriate.</w:t>
      </w:r>
      <w:r>
        <w:t xml:space="preserve"> </w:t>
      </w:r>
    </w:p>
    <w:p w14:paraId="051062CF" w14:textId="77777777" w:rsidR="00F93D91" w:rsidRDefault="00F93D91" w:rsidP="00101994">
      <w:pPr>
        <w:pStyle w:val="BodyText"/>
        <w:spacing w:before="1"/>
        <w:ind w:right="115"/>
        <w:jc w:val="both"/>
      </w:pPr>
    </w:p>
    <w:p w14:paraId="60AB4AEB" w14:textId="4C647130" w:rsidR="00F93D91" w:rsidRDefault="00F93D91" w:rsidP="00101994">
      <w:pPr>
        <w:pStyle w:val="BodyText"/>
        <w:spacing w:before="1"/>
        <w:ind w:right="115"/>
        <w:jc w:val="both"/>
      </w:pPr>
      <w:r>
        <w:t xml:space="preserve">Once </w:t>
      </w:r>
      <w:r w:rsidR="00E368B7">
        <w:t xml:space="preserve">reviews are </w:t>
      </w:r>
      <w:r>
        <w:t>completed, the findings are posted to the SMERF system. At the time that findings are posted to the Sample Unit Disposition (SUD) report, states can formally request Difference</w:t>
      </w:r>
      <w:r>
        <w:rPr>
          <w:spacing w:val="1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(DR)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the findings of</w:t>
      </w:r>
      <w:r>
        <w:rPr>
          <w:spacing w:val="1"/>
        </w:rPr>
        <w:t xml:space="preserve"> </w:t>
      </w:r>
      <w:r>
        <w:t>the DR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CMS.</w:t>
      </w:r>
    </w:p>
    <w:p w14:paraId="266605E8" w14:textId="77777777" w:rsidR="00F93D91" w:rsidRDefault="00F93D91" w:rsidP="00101994">
      <w:pPr>
        <w:pStyle w:val="BodyText"/>
        <w:spacing w:before="11"/>
        <w:rPr>
          <w:sz w:val="21"/>
        </w:rPr>
      </w:pPr>
    </w:p>
    <w:p w14:paraId="32FD6010" w14:textId="77777777" w:rsidR="00F93D91" w:rsidRDefault="00F93D91" w:rsidP="00101994">
      <w:pPr>
        <w:pStyle w:val="BodyText"/>
        <w:ind w:right="115"/>
        <w:jc w:val="both"/>
      </w:pPr>
      <w:r>
        <w:t>The ERC is also responsible for collecting eligibility information from the state's eligibility system(s)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RC's data processing</w:t>
      </w:r>
      <w:r>
        <w:rPr>
          <w:spacing w:val="-3"/>
        </w:rPr>
        <w:t xml:space="preserve"> </w:t>
      </w:r>
      <w:r>
        <w:t>reviews.</w:t>
      </w:r>
    </w:p>
    <w:p w14:paraId="3D5B03EE" w14:textId="77777777" w:rsidR="00F93D91" w:rsidRDefault="00F93D91" w:rsidP="00101994">
      <w:pPr>
        <w:pStyle w:val="BodyText"/>
        <w:spacing w:before="3"/>
        <w:rPr>
          <w:sz w:val="25"/>
        </w:rPr>
      </w:pPr>
    </w:p>
    <w:p w14:paraId="5D8B234D" w14:textId="0ED8EC40" w:rsidR="00212A81" w:rsidRPr="00C93CED" w:rsidRDefault="00F93D91" w:rsidP="00101994">
      <w:pPr>
        <w:pStyle w:val="BodyText"/>
        <w:spacing w:before="1" w:line="256" w:lineRule="auto"/>
        <w:ind w:right="116"/>
        <w:jc w:val="both"/>
      </w:pPr>
      <w:r>
        <w:t>Upon completion of the eligibility case reviews, the ERC assists CMS with reviewing findings, providing</w:t>
      </w:r>
      <w:r>
        <w:rPr>
          <w:spacing w:val="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origin of</w:t>
      </w:r>
      <w:r>
        <w:rPr>
          <w:spacing w:val="-3"/>
        </w:rPr>
        <w:t xml:space="preserve"> </w:t>
      </w:r>
      <w:r>
        <w:t>errors, summarizing</w:t>
      </w:r>
      <w:r>
        <w:rPr>
          <w:spacing w:val="-4"/>
        </w:rPr>
        <w:t xml:space="preserve"> </w:t>
      </w:r>
      <w:r>
        <w:t>state findings,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questions.</w:t>
      </w:r>
    </w:p>
    <w:sectPr w:rsidR="00212A81" w:rsidRPr="00C93CED" w:rsidSect="007A3952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BDF4" w14:textId="77777777" w:rsidR="000066BD" w:rsidRDefault="000066BD" w:rsidP="00C93CED">
      <w:pPr>
        <w:spacing w:after="0" w:line="240" w:lineRule="auto"/>
      </w:pPr>
      <w:r>
        <w:separator/>
      </w:r>
    </w:p>
  </w:endnote>
  <w:endnote w:type="continuationSeparator" w:id="0">
    <w:p w14:paraId="0C3C9312" w14:textId="77777777" w:rsidR="000066BD" w:rsidRDefault="000066BD" w:rsidP="00C9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F43C1" w14:textId="77777777" w:rsidR="000066BD" w:rsidRDefault="000066BD" w:rsidP="00C93CED">
      <w:pPr>
        <w:spacing w:after="0" w:line="240" w:lineRule="auto"/>
      </w:pPr>
      <w:r>
        <w:separator/>
      </w:r>
    </w:p>
  </w:footnote>
  <w:footnote w:type="continuationSeparator" w:id="0">
    <w:p w14:paraId="255B82EF" w14:textId="77777777" w:rsidR="000066BD" w:rsidRDefault="000066BD" w:rsidP="00C9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FA45F" w14:textId="7045254B" w:rsidR="00226F4F" w:rsidRDefault="00226F4F">
    <w:pPr>
      <w:pStyle w:val="Header"/>
    </w:pPr>
    <w:r>
      <w:rPr>
        <w:noProof/>
      </w:rPr>
      <w:drawing>
        <wp:inline distT="0" distB="0" distL="0" distR="0" wp14:anchorId="27B4A2E9" wp14:editId="0BC5439F">
          <wp:extent cx="1878809" cy="775690"/>
          <wp:effectExtent l="0" t="0" r="7620" b="5715"/>
          <wp:docPr id="7" name="image1.jpeg" descr="CMS - Centers for Medicare and Medicaid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09" cy="7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ED"/>
    <w:rsid w:val="000066BD"/>
    <w:rsid w:val="00101994"/>
    <w:rsid w:val="001341B6"/>
    <w:rsid w:val="001F24D6"/>
    <w:rsid w:val="001F4BD3"/>
    <w:rsid w:val="00212A81"/>
    <w:rsid w:val="00226F4F"/>
    <w:rsid w:val="002625D9"/>
    <w:rsid w:val="002E2827"/>
    <w:rsid w:val="002F52AC"/>
    <w:rsid w:val="00322E57"/>
    <w:rsid w:val="003F7C96"/>
    <w:rsid w:val="0045179F"/>
    <w:rsid w:val="00474E7F"/>
    <w:rsid w:val="004B6DDC"/>
    <w:rsid w:val="0054568A"/>
    <w:rsid w:val="00566913"/>
    <w:rsid w:val="005B1305"/>
    <w:rsid w:val="00656114"/>
    <w:rsid w:val="007026EC"/>
    <w:rsid w:val="007A3952"/>
    <w:rsid w:val="00837330"/>
    <w:rsid w:val="00871EAB"/>
    <w:rsid w:val="008D599F"/>
    <w:rsid w:val="008E2D97"/>
    <w:rsid w:val="009B75B9"/>
    <w:rsid w:val="00A22ED2"/>
    <w:rsid w:val="00AF2E86"/>
    <w:rsid w:val="00BB6F65"/>
    <w:rsid w:val="00BC39C0"/>
    <w:rsid w:val="00C93CED"/>
    <w:rsid w:val="00D10953"/>
    <w:rsid w:val="00E368B7"/>
    <w:rsid w:val="00F36F00"/>
    <w:rsid w:val="00F44930"/>
    <w:rsid w:val="00F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372E2"/>
  <w15:chartTrackingRefBased/>
  <w15:docId w15:val="{74BBBDD2-A451-47D9-AD8F-EA2F3F7E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3D91"/>
    <w:pPr>
      <w:widowControl w:val="0"/>
      <w:autoSpaceDE w:val="0"/>
      <w:autoSpaceDN w:val="0"/>
      <w:spacing w:before="1"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449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3D91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F93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93D9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6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F4F"/>
  </w:style>
  <w:style w:type="paragraph" w:styleId="Footer">
    <w:name w:val="footer"/>
    <w:basedOn w:val="Normal"/>
    <w:link w:val="FooterChar"/>
    <w:uiPriority w:val="99"/>
    <w:unhideWhenUsed/>
    <w:rsid w:val="00226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RY 2023 Contractor Roles and Responsibilities</vt:lpstr>
      <vt:lpstr>RY 2023 Eligibility Review Contractor (ERC) – Booz Allen Hamilton – Responsible </vt:lpstr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Laura M</dc:creator>
  <cp:keywords/>
  <dc:description/>
  <cp:lastModifiedBy>Kamini Patel</cp:lastModifiedBy>
  <cp:revision>5</cp:revision>
  <dcterms:created xsi:type="dcterms:W3CDTF">2021-08-06T20:04:00Z</dcterms:created>
  <dcterms:modified xsi:type="dcterms:W3CDTF">2021-08-06T20:15:00Z</dcterms:modified>
</cp:coreProperties>
</file>