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FBE9" w14:textId="5056E869" w:rsidR="00C15349" w:rsidRDefault="00384AEB" w:rsidP="00384AEB">
      <w:pPr>
        <w:pStyle w:val="Title"/>
      </w:pPr>
      <w:r>
        <w:t xml:space="preserve">Meaningful Measure Area Definitions </w:t>
      </w:r>
    </w:p>
    <w:p w14:paraId="5AADDCC7" w14:textId="05F8AD23" w:rsidR="00384AEB" w:rsidRDefault="00384AEB" w:rsidP="00384AEB"/>
    <w:p w14:paraId="3016C220" w14:textId="6883DE27" w:rsidR="000768C3" w:rsidRDefault="001D32E8" w:rsidP="00384AEB">
      <w:r>
        <w:t>Purpose:</w:t>
      </w:r>
      <w:r w:rsidR="000768C3">
        <w:t xml:space="preserve"> To aid in </w:t>
      </w:r>
      <w:r>
        <w:t>c</w:t>
      </w:r>
      <w:r w:rsidR="000768C3">
        <w:t xml:space="preserve">ontinued understanding of the framework and assist as </w:t>
      </w:r>
      <w:r>
        <w:t xml:space="preserve">stakeholders understand and </w:t>
      </w:r>
      <w:r w:rsidR="000768C3">
        <w:t xml:space="preserve">assign Meaningful Measure areas to quality measures, </w:t>
      </w:r>
      <w:r>
        <w:t xml:space="preserve">CMS developed </w:t>
      </w:r>
      <w:r w:rsidR="000768C3">
        <w:t xml:space="preserve">definitions of the Meaningful Measure areas. </w:t>
      </w:r>
    </w:p>
    <w:p w14:paraId="25EE783A" w14:textId="1EFEEB8C" w:rsidR="001D32E8" w:rsidRDefault="001D32E8" w:rsidP="00384AEB">
      <w:r>
        <w:t xml:space="preserve">For questions or comments, contact the CMS Meaningful Measures Team by e-mailing: </w:t>
      </w:r>
      <w:hyperlink r:id="rId12" w:history="1">
        <w:r>
          <w:rPr>
            <w:rStyle w:val="Hyperlink"/>
            <w:rFonts w:ascii="Arial" w:hAnsi="Arial" w:cs="Arial"/>
            <w:sz w:val="19"/>
            <w:szCs w:val="19"/>
            <w:lang w:val="en"/>
          </w:rPr>
          <w:t>MeaningfulMeasuresQA@cms.hhs.gov</w:t>
        </w:r>
      </w:hyperlink>
      <w:r>
        <w:rPr>
          <w:rFonts w:ascii="Arial" w:hAnsi="Arial" w:cs="Arial"/>
          <w:sz w:val="19"/>
          <w:szCs w:val="19"/>
          <w:lang w:val="en"/>
        </w:rPr>
        <w:t xml:space="preserve">. </w:t>
      </w:r>
    </w:p>
    <w:p w14:paraId="5B043693" w14:textId="77777777" w:rsidR="000768C3" w:rsidRDefault="000768C3" w:rsidP="00384AEB"/>
    <w:tbl>
      <w:tblPr>
        <w:tblStyle w:val="TableGrid"/>
        <w:tblW w:w="13117" w:type="dxa"/>
        <w:tblLook w:val="04A0" w:firstRow="1" w:lastRow="0" w:firstColumn="1" w:lastColumn="0" w:noHBand="0" w:noVBand="1"/>
        <w:tblCaption w:val="Meaningful Measure Area Definitions"/>
        <w:tblDescription w:val="Defintions and measure examples for each of the 19 Meaningful Measure areas. "/>
      </w:tblPr>
      <w:tblGrid>
        <w:gridCol w:w="2155"/>
        <w:gridCol w:w="4770"/>
        <w:gridCol w:w="6192"/>
      </w:tblGrid>
      <w:tr w:rsidR="00384AEB" w14:paraId="02855B67" w14:textId="77777777" w:rsidTr="001D32E8">
        <w:trPr>
          <w:cantSplit/>
          <w:tblHeader/>
        </w:trPr>
        <w:tc>
          <w:tcPr>
            <w:tcW w:w="2155" w:type="dxa"/>
            <w:shd w:val="clear" w:color="auto" w:fill="BDD6EE" w:themeFill="accent1" w:themeFillTint="66"/>
          </w:tcPr>
          <w:p w14:paraId="5AFBB4E8" w14:textId="77777777" w:rsidR="00384AEB" w:rsidRPr="007B082A" w:rsidRDefault="00384AEB" w:rsidP="005425FB">
            <w:pPr>
              <w:rPr>
                <w:b/>
                <w:sz w:val="32"/>
              </w:rPr>
            </w:pPr>
            <w:r w:rsidRPr="007B082A">
              <w:rPr>
                <w:b/>
                <w:sz w:val="32"/>
              </w:rPr>
              <w:t>Meaningful Measure Area</w:t>
            </w:r>
          </w:p>
        </w:tc>
        <w:tc>
          <w:tcPr>
            <w:tcW w:w="4770" w:type="dxa"/>
            <w:shd w:val="clear" w:color="auto" w:fill="BDD6EE" w:themeFill="accent1" w:themeFillTint="66"/>
          </w:tcPr>
          <w:p w14:paraId="0557FBD5" w14:textId="77777777" w:rsidR="00384AEB" w:rsidRPr="007B082A" w:rsidRDefault="00384AEB" w:rsidP="005425FB">
            <w:pPr>
              <w:rPr>
                <w:b/>
                <w:sz w:val="32"/>
              </w:rPr>
            </w:pPr>
            <w:r w:rsidRPr="007B082A">
              <w:rPr>
                <w:b/>
                <w:sz w:val="32"/>
              </w:rPr>
              <w:t>Definition</w:t>
            </w:r>
          </w:p>
        </w:tc>
        <w:tc>
          <w:tcPr>
            <w:tcW w:w="6192" w:type="dxa"/>
            <w:shd w:val="clear" w:color="auto" w:fill="BDD6EE" w:themeFill="accent1" w:themeFillTint="66"/>
          </w:tcPr>
          <w:p w14:paraId="1B64BBCD" w14:textId="77777777" w:rsidR="00384AEB" w:rsidRPr="007B082A" w:rsidRDefault="00384AEB" w:rsidP="005425FB">
            <w:pPr>
              <w:rPr>
                <w:b/>
                <w:sz w:val="32"/>
              </w:rPr>
            </w:pPr>
            <w:r w:rsidRPr="007B082A">
              <w:rPr>
                <w:b/>
                <w:sz w:val="32"/>
              </w:rPr>
              <w:t>Measure Examples</w:t>
            </w:r>
          </w:p>
        </w:tc>
      </w:tr>
      <w:tr w:rsidR="00384AEB" w14:paraId="74A1D803" w14:textId="77777777" w:rsidTr="001D32E8">
        <w:trPr>
          <w:cantSplit/>
        </w:trPr>
        <w:tc>
          <w:tcPr>
            <w:tcW w:w="13117" w:type="dxa"/>
            <w:gridSpan w:val="3"/>
            <w:shd w:val="clear" w:color="auto" w:fill="DEEAF6" w:themeFill="accent1" w:themeFillTint="33"/>
          </w:tcPr>
          <w:p w14:paraId="51102D2C" w14:textId="77777777" w:rsidR="00384AEB" w:rsidRDefault="00384AEB" w:rsidP="005425FB">
            <w:r w:rsidRPr="007B082A">
              <w:rPr>
                <w:b/>
                <w:color w:val="000000" w:themeColor="text1"/>
                <w:sz w:val="28"/>
              </w:rPr>
              <w:t>Promote Effective Communication &amp; Coordination of Care</w:t>
            </w:r>
          </w:p>
        </w:tc>
      </w:tr>
      <w:tr w:rsidR="00384AEB" w14:paraId="110039C0" w14:textId="77777777" w:rsidTr="001D32E8">
        <w:trPr>
          <w:cantSplit/>
        </w:trPr>
        <w:tc>
          <w:tcPr>
            <w:tcW w:w="2155" w:type="dxa"/>
          </w:tcPr>
          <w:p w14:paraId="7FE8D290" w14:textId="77777777" w:rsidR="00384AEB" w:rsidRDefault="00384AEB" w:rsidP="005425FB">
            <w:r w:rsidRPr="007B082A">
              <w:t xml:space="preserve">Medication Management </w:t>
            </w:r>
            <w:r w:rsidRPr="007B082A">
              <w:tab/>
            </w:r>
          </w:p>
        </w:tc>
        <w:tc>
          <w:tcPr>
            <w:tcW w:w="4770" w:type="dxa"/>
          </w:tcPr>
          <w:p w14:paraId="21E2D8AC" w14:textId="6414DFE9" w:rsidR="00384AEB" w:rsidRDefault="00384AEB" w:rsidP="00DC30FE">
            <w:r w:rsidRPr="007B082A">
              <w:t>This area covers measures focused on activities to optimize medication therapy, including reducing medication errors and maintaining and improving adherence to recommended medication regimens. An example of a medication management strategy is engaging with patients and caregivers to ensure that a complete and accurate medication list is maintained.</w:t>
            </w:r>
            <w:r w:rsidR="00DC30FE" w:rsidRPr="007B082A">
              <w:t xml:space="preserve"> [Note: Measures of care related to substance use</w:t>
            </w:r>
            <w:r w:rsidR="00DC30FE">
              <w:t xml:space="preserve"> disorders</w:t>
            </w:r>
            <w:r w:rsidR="00DC30FE" w:rsidRPr="007B082A">
              <w:t xml:space="preserve"> are not included here since they are cover</w:t>
            </w:r>
            <w:r w:rsidR="00DC30FE">
              <w:t>ed in separate measure area</w:t>
            </w:r>
            <w:r w:rsidR="00DC30FE" w:rsidRPr="007B082A">
              <w:t>.]</w:t>
            </w:r>
          </w:p>
        </w:tc>
        <w:tc>
          <w:tcPr>
            <w:tcW w:w="6192" w:type="dxa"/>
          </w:tcPr>
          <w:p w14:paraId="6E4752E9" w14:textId="246F2498" w:rsidR="00384AEB" w:rsidRPr="007B082A" w:rsidRDefault="00384AEB" w:rsidP="005425FB">
            <w:pPr>
              <w:pStyle w:val="ListParagraph"/>
              <w:numPr>
                <w:ilvl w:val="0"/>
                <w:numId w:val="13"/>
              </w:numPr>
              <w:rPr>
                <w:color w:val="000000" w:themeColor="text1"/>
              </w:rPr>
            </w:pPr>
            <w:r w:rsidRPr="007B082A">
              <w:rPr>
                <w:b/>
                <w:color w:val="000000" w:themeColor="text1"/>
              </w:rPr>
              <w:t>Medication Reconciliation for Patients Receiving Care at Dialysis Facilities</w:t>
            </w:r>
            <w:r w:rsidRPr="007B082A">
              <w:rPr>
                <w:color w:val="000000" w:themeColor="text1"/>
              </w:rPr>
              <w:t xml:space="preserve">: </w:t>
            </w:r>
            <w:r w:rsidR="0005725A">
              <w:rPr>
                <w:color w:val="000000" w:themeColor="text1"/>
              </w:rPr>
              <w:t>U</w:t>
            </w:r>
            <w:r w:rsidR="0005725A" w:rsidRPr="007B082A">
              <w:rPr>
                <w:color w:val="000000" w:themeColor="text1"/>
              </w:rPr>
              <w:t xml:space="preserve">sed </w:t>
            </w:r>
            <w:r w:rsidRPr="007B082A">
              <w:rPr>
                <w:color w:val="000000" w:themeColor="text1"/>
              </w:rPr>
              <w:t>in the ESRD Q</w:t>
            </w:r>
            <w:r w:rsidR="0005725A">
              <w:rPr>
                <w:color w:val="000000" w:themeColor="text1"/>
              </w:rPr>
              <w:t>IP</w:t>
            </w:r>
            <w:r w:rsidRPr="007B082A">
              <w:rPr>
                <w:color w:val="000000" w:themeColor="text1"/>
              </w:rPr>
              <w:t>; NQF#2988.</w:t>
            </w:r>
          </w:p>
          <w:p w14:paraId="4144AE41" w14:textId="56DB9CDB" w:rsidR="00384AEB" w:rsidRPr="007B082A" w:rsidRDefault="00384AEB" w:rsidP="005425FB">
            <w:pPr>
              <w:pStyle w:val="ListParagraph"/>
              <w:numPr>
                <w:ilvl w:val="0"/>
                <w:numId w:val="13"/>
              </w:numPr>
              <w:rPr>
                <w:color w:val="000000" w:themeColor="text1"/>
              </w:rPr>
            </w:pPr>
            <w:r w:rsidRPr="007B082A">
              <w:rPr>
                <w:b/>
                <w:color w:val="000000" w:themeColor="text1"/>
              </w:rPr>
              <w:t>Use of High-Risk Medications in the Elderly:</w:t>
            </w:r>
            <w:r w:rsidRPr="007B082A">
              <w:rPr>
                <w:color w:val="000000" w:themeColor="text1"/>
              </w:rPr>
              <w:t xml:space="preserve"> </w:t>
            </w:r>
            <w:r w:rsidR="0005725A">
              <w:rPr>
                <w:color w:val="000000" w:themeColor="text1"/>
              </w:rPr>
              <w:t>U</w:t>
            </w:r>
            <w:r w:rsidR="0005725A" w:rsidRPr="007B082A">
              <w:rPr>
                <w:color w:val="000000" w:themeColor="text1"/>
              </w:rPr>
              <w:t xml:space="preserve">sed </w:t>
            </w:r>
            <w:r w:rsidRPr="007B082A">
              <w:rPr>
                <w:color w:val="000000" w:themeColor="text1"/>
              </w:rPr>
              <w:t>in the MIPS Program; NQF#0022.</w:t>
            </w:r>
          </w:p>
          <w:p w14:paraId="6E045F02" w14:textId="73FF4B66" w:rsidR="00384AEB" w:rsidRDefault="00384AEB" w:rsidP="005425FB">
            <w:pPr>
              <w:pStyle w:val="ListParagraph"/>
              <w:numPr>
                <w:ilvl w:val="0"/>
                <w:numId w:val="13"/>
              </w:numPr>
              <w:rPr>
                <w:color w:val="000000" w:themeColor="text1"/>
              </w:rPr>
            </w:pPr>
            <w:r w:rsidRPr="007B082A">
              <w:rPr>
                <w:b/>
                <w:color w:val="000000" w:themeColor="text1"/>
              </w:rPr>
              <w:t>Medication Adherence for Diabetes Medications</w:t>
            </w:r>
            <w:r w:rsidRPr="007B082A">
              <w:rPr>
                <w:color w:val="000000" w:themeColor="text1"/>
              </w:rPr>
              <w:t xml:space="preserve">: </w:t>
            </w:r>
            <w:r w:rsidR="0005725A">
              <w:rPr>
                <w:color w:val="000000" w:themeColor="text1"/>
              </w:rPr>
              <w:t>U</w:t>
            </w:r>
            <w:r w:rsidR="0005725A" w:rsidRPr="007B082A">
              <w:rPr>
                <w:color w:val="000000" w:themeColor="text1"/>
              </w:rPr>
              <w:t xml:space="preserve">sed </w:t>
            </w:r>
            <w:r w:rsidRPr="007B082A">
              <w:rPr>
                <w:color w:val="000000" w:themeColor="text1"/>
              </w:rPr>
              <w:t>in</w:t>
            </w:r>
            <w:r w:rsidR="0005725A">
              <w:rPr>
                <w:color w:val="000000" w:themeColor="text1"/>
              </w:rPr>
              <w:t xml:space="preserve"> the</w:t>
            </w:r>
            <w:r w:rsidRPr="007B082A">
              <w:rPr>
                <w:color w:val="000000" w:themeColor="text1"/>
              </w:rPr>
              <w:t xml:space="preserve"> Medicare Part D Star Rating; based on NQF#0541</w:t>
            </w:r>
            <w:r w:rsidR="000F4509">
              <w:rPr>
                <w:color w:val="000000" w:themeColor="text1"/>
              </w:rPr>
              <w:t>.</w:t>
            </w:r>
          </w:p>
          <w:p w14:paraId="259A6887" w14:textId="25E80D0F" w:rsidR="00307580" w:rsidRDefault="00307580" w:rsidP="005425FB">
            <w:pPr>
              <w:pStyle w:val="ListParagraph"/>
              <w:numPr>
                <w:ilvl w:val="0"/>
                <w:numId w:val="13"/>
              </w:numPr>
              <w:rPr>
                <w:color w:val="000000" w:themeColor="text1"/>
              </w:rPr>
            </w:pPr>
            <w:r w:rsidRPr="00307580">
              <w:rPr>
                <w:b/>
                <w:color w:val="000000" w:themeColor="text1"/>
              </w:rPr>
              <w:t xml:space="preserve">Asthma Medication Ratio: </w:t>
            </w:r>
            <w:r w:rsidR="0005725A">
              <w:rPr>
                <w:color w:val="000000" w:themeColor="text1"/>
              </w:rPr>
              <w:t>U</w:t>
            </w:r>
            <w:r w:rsidRPr="00307580">
              <w:rPr>
                <w:color w:val="000000" w:themeColor="text1"/>
              </w:rPr>
              <w:t>sed in the Medicaid and CHIP Child and Adult Core Sets; NQF #1800</w:t>
            </w:r>
            <w:r w:rsidR="000F4509">
              <w:rPr>
                <w:color w:val="000000" w:themeColor="text1"/>
              </w:rPr>
              <w:t>.</w:t>
            </w:r>
          </w:p>
          <w:p w14:paraId="43A06CB9" w14:textId="27FBD03E" w:rsidR="00DC30FE" w:rsidRPr="007B082A" w:rsidRDefault="00DC30FE" w:rsidP="00DC30FE">
            <w:pPr>
              <w:pStyle w:val="ListParagraph"/>
              <w:numPr>
                <w:ilvl w:val="0"/>
                <w:numId w:val="13"/>
              </w:numPr>
              <w:rPr>
                <w:color w:val="000000" w:themeColor="text1"/>
              </w:rPr>
            </w:pPr>
            <w:r w:rsidRPr="000768C3">
              <w:rPr>
                <w:b/>
                <w:color w:val="000000" w:themeColor="text1"/>
              </w:rPr>
              <w:t>Drug Regimen Review Conducted with Follow-Up for Identified Issues- Post Acute Care (PAC):</w:t>
            </w:r>
            <w:r w:rsidRPr="00516405">
              <w:rPr>
                <w:color w:val="000000" w:themeColor="text1"/>
              </w:rPr>
              <w:t xml:space="preserve"> </w:t>
            </w:r>
            <w:r>
              <w:rPr>
                <w:color w:val="000000" w:themeColor="text1"/>
              </w:rPr>
              <w:t xml:space="preserve">Used in the LTCH, IRF, SNF, </w:t>
            </w:r>
            <w:r w:rsidR="0005725A">
              <w:rPr>
                <w:color w:val="000000" w:themeColor="text1"/>
              </w:rPr>
              <w:t xml:space="preserve">and </w:t>
            </w:r>
            <w:r>
              <w:rPr>
                <w:color w:val="000000" w:themeColor="text1"/>
              </w:rPr>
              <w:t>HH Q</w:t>
            </w:r>
            <w:r w:rsidR="0005725A">
              <w:rPr>
                <w:color w:val="000000" w:themeColor="text1"/>
              </w:rPr>
              <w:t>RPs</w:t>
            </w:r>
            <w:r w:rsidR="000F4509">
              <w:rPr>
                <w:color w:val="000000" w:themeColor="text1"/>
              </w:rPr>
              <w:t>.</w:t>
            </w:r>
          </w:p>
          <w:p w14:paraId="02DDC5F7" w14:textId="2048D830" w:rsidR="00DC30FE" w:rsidRPr="00DC30FE" w:rsidRDefault="00DC30FE" w:rsidP="00DC30FE">
            <w:pPr>
              <w:rPr>
                <w:color w:val="000000" w:themeColor="text1"/>
              </w:rPr>
            </w:pPr>
            <w:bookmarkStart w:id="0" w:name="_GoBack"/>
            <w:bookmarkEnd w:id="0"/>
          </w:p>
        </w:tc>
      </w:tr>
      <w:tr w:rsidR="00384AEB" w14:paraId="288F52E0" w14:textId="77777777" w:rsidTr="001D32E8">
        <w:trPr>
          <w:cantSplit/>
        </w:trPr>
        <w:tc>
          <w:tcPr>
            <w:tcW w:w="2155" w:type="dxa"/>
          </w:tcPr>
          <w:p w14:paraId="50B423E3" w14:textId="77777777" w:rsidR="00384AEB" w:rsidRPr="007B082A" w:rsidRDefault="00384AEB" w:rsidP="005425FB">
            <w:r w:rsidRPr="007B082A">
              <w:lastRenderedPageBreak/>
              <w:t>Admissions and Readmissions to Hospitals</w:t>
            </w:r>
            <w:r w:rsidRPr="007B082A">
              <w:tab/>
            </w:r>
          </w:p>
        </w:tc>
        <w:tc>
          <w:tcPr>
            <w:tcW w:w="4770" w:type="dxa"/>
          </w:tcPr>
          <w:p w14:paraId="29D1A198" w14:textId="136EB696" w:rsidR="00384AEB" w:rsidRDefault="00384AEB" w:rsidP="005425FB">
            <w:r w:rsidRPr="007B082A">
              <w:t>Healthcare quality can be improved by activities that decrease unnecessary</w:t>
            </w:r>
            <w:r w:rsidR="00DB6EEA">
              <w:t xml:space="preserve"> and </w:t>
            </w:r>
            <w:proofErr w:type="gramStart"/>
            <w:r w:rsidR="00DB6EEA">
              <w:t xml:space="preserve">costly </w:t>
            </w:r>
            <w:r w:rsidRPr="007B082A">
              <w:t xml:space="preserve"> hospital</w:t>
            </w:r>
            <w:proofErr w:type="gramEnd"/>
            <w:r w:rsidRPr="007B082A">
              <w:t xml:space="preserve"> admissions and readmissions, by achieving better care coordination in the healthcare system.  This measurement area focuses on avoidance of unnecessary admission and readmission.</w:t>
            </w:r>
          </w:p>
        </w:tc>
        <w:tc>
          <w:tcPr>
            <w:tcW w:w="6192" w:type="dxa"/>
          </w:tcPr>
          <w:p w14:paraId="76EB332F" w14:textId="75EEF2C4" w:rsidR="00384AEB" w:rsidRDefault="00384AEB" w:rsidP="005425FB">
            <w:pPr>
              <w:pStyle w:val="ListParagraph"/>
              <w:numPr>
                <w:ilvl w:val="0"/>
                <w:numId w:val="13"/>
              </w:numPr>
              <w:rPr>
                <w:color w:val="000000" w:themeColor="text1"/>
              </w:rPr>
            </w:pPr>
            <w:r w:rsidRPr="005C6DEF">
              <w:rPr>
                <w:b/>
                <w:color w:val="000000" w:themeColor="text1"/>
              </w:rPr>
              <w:t>Standardized Hospitalization Ratio for Admissions</w:t>
            </w:r>
            <w:r>
              <w:rPr>
                <w:color w:val="000000" w:themeColor="text1"/>
              </w:rPr>
              <w:t xml:space="preserve">: </w:t>
            </w:r>
            <w:r w:rsidR="0005725A">
              <w:rPr>
                <w:color w:val="000000" w:themeColor="text1"/>
              </w:rPr>
              <w:t xml:space="preserve">Used </w:t>
            </w:r>
            <w:r>
              <w:rPr>
                <w:color w:val="000000" w:themeColor="text1"/>
              </w:rPr>
              <w:t>in the ESRD Q</w:t>
            </w:r>
            <w:r w:rsidR="0005725A">
              <w:rPr>
                <w:color w:val="000000" w:themeColor="text1"/>
              </w:rPr>
              <w:t>IP</w:t>
            </w:r>
            <w:r>
              <w:rPr>
                <w:color w:val="000000" w:themeColor="text1"/>
              </w:rPr>
              <w:t>; NQF#1463</w:t>
            </w:r>
            <w:r w:rsidR="000F4509">
              <w:rPr>
                <w:color w:val="000000" w:themeColor="text1"/>
              </w:rPr>
              <w:t>.</w:t>
            </w:r>
          </w:p>
          <w:p w14:paraId="38177761" w14:textId="19A09D44" w:rsidR="00384AEB" w:rsidRDefault="00384AEB" w:rsidP="005425FB">
            <w:pPr>
              <w:pStyle w:val="ListParagraph"/>
              <w:numPr>
                <w:ilvl w:val="0"/>
                <w:numId w:val="13"/>
              </w:numPr>
              <w:rPr>
                <w:color w:val="000000" w:themeColor="text1"/>
              </w:rPr>
            </w:pPr>
            <w:r w:rsidRPr="005C6DEF">
              <w:rPr>
                <w:b/>
                <w:color w:val="000000" w:themeColor="text1"/>
              </w:rPr>
              <w:t>Hospital 30-Day, All-Cause, Risk-Standardized Readmission Rate (RSRR) Following Heart Failure (HF) Hospitalization</w:t>
            </w:r>
            <w:r>
              <w:rPr>
                <w:color w:val="000000" w:themeColor="text1"/>
              </w:rPr>
              <w:t xml:space="preserve">: </w:t>
            </w:r>
            <w:r w:rsidR="0005725A">
              <w:rPr>
                <w:color w:val="000000" w:themeColor="text1"/>
              </w:rPr>
              <w:t xml:space="preserve">Used </w:t>
            </w:r>
            <w:r>
              <w:rPr>
                <w:color w:val="000000" w:themeColor="text1"/>
              </w:rPr>
              <w:t xml:space="preserve">in the </w:t>
            </w:r>
            <w:r w:rsidR="00401C9A">
              <w:rPr>
                <w:color w:val="000000" w:themeColor="text1"/>
              </w:rPr>
              <w:t>HRRP</w:t>
            </w:r>
            <w:r>
              <w:rPr>
                <w:color w:val="000000" w:themeColor="text1"/>
              </w:rPr>
              <w:t>; NQF#0330</w:t>
            </w:r>
            <w:r w:rsidR="000F4509">
              <w:rPr>
                <w:color w:val="000000" w:themeColor="text1"/>
              </w:rPr>
              <w:t>.</w:t>
            </w:r>
          </w:p>
          <w:p w14:paraId="6BAF72B8" w14:textId="13276BB3" w:rsidR="00384AEB" w:rsidRDefault="00384AEB" w:rsidP="005425FB">
            <w:pPr>
              <w:pStyle w:val="ListParagraph"/>
              <w:numPr>
                <w:ilvl w:val="0"/>
                <w:numId w:val="13"/>
              </w:numPr>
              <w:rPr>
                <w:color w:val="000000" w:themeColor="text1"/>
              </w:rPr>
            </w:pPr>
            <w:r w:rsidRPr="007B082A">
              <w:rPr>
                <w:b/>
                <w:color w:val="000000" w:themeColor="text1"/>
              </w:rPr>
              <w:t>Hospital Visits after Hospital Outpatient Surgery</w:t>
            </w:r>
            <w:r w:rsidRPr="007B082A">
              <w:rPr>
                <w:color w:val="000000" w:themeColor="text1"/>
              </w:rPr>
              <w:t xml:space="preserve">: </w:t>
            </w:r>
            <w:r w:rsidR="0005725A">
              <w:rPr>
                <w:color w:val="000000" w:themeColor="text1"/>
              </w:rPr>
              <w:t>F</w:t>
            </w:r>
            <w:r w:rsidR="0005725A" w:rsidRPr="007B082A">
              <w:rPr>
                <w:color w:val="000000" w:themeColor="text1"/>
              </w:rPr>
              <w:t xml:space="preserve">inalized </w:t>
            </w:r>
            <w:r w:rsidRPr="007B082A">
              <w:rPr>
                <w:color w:val="000000" w:themeColor="text1"/>
              </w:rPr>
              <w:t xml:space="preserve">for the </w:t>
            </w:r>
            <w:r w:rsidR="00401C9A">
              <w:rPr>
                <w:color w:val="000000" w:themeColor="text1"/>
              </w:rPr>
              <w:t>HOQR</w:t>
            </w:r>
            <w:r w:rsidRPr="007B082A">
              <w:rPr>
                <w:color w:val="000000" w:themeColor="text1"/>
              </w:rPr>
              <w:t>; NQF#2687</w:t>
            </w:r>
            <w:r w:rsidR="000F4509">
              <w:rPr>
                <w:color w:val="000000" w:themeColor="text1"/>
              </w:rPr>
              <w:t>.</w:t>
            </w:r>
          </w:p>
          <w:p w14:paraId="063B85E4" w14:textId="6A5B61C1" w:rsidR="00307580" w:rsidRDefault="00307580">
            <w:pPr>
              <w:pStyle w:val="ListParagraph"/>
              <w:numPr>
                <w:ilvl w:val="0"/>
                <w:numId w:val="13"/>
              </w:numPr>
              <w:rPr>
                <w:color w:val="000000" w:themeColor="text1"/>
              </w:rPr>
            </w:pPr>
            <w:r w:rsidRPr="0051135A">
              <w:rPr>
                <w:b/>
                <w:color w:val="000000" w:themeColor="text1"/>
              </w:rPr>
              <w:t>PQI 08: Heart Failure Admission Rate:</w:t>
            </w:r>
            <w:r>
              <w:rPr>
                <w:color w:val="000000" w:themeColor="text1"/>
              </w:rPr>
              <w:t xml:space="preserve"> </w:t>
            </w:r>
            <w:r w:rsidR="0005725A">
              <w:rPr>
                <w:color w:val="000000" w:themeColor="text1"/>
              </w:rPr>
              <w:t>U</w:t>
            </w:r>
            <w:r>
              <w:rPr>
                <w:color w:val="000000" w:themeColor="text1"/>
              </w:rPr>
              <w:t>sed in the Medicaid Adult Core Set; NQF #0277</w:t>
            </w:r>
            <w:r w:rsidR="000F4509">
              <w:rPr>
                <w:color w:val="000000" w:themeColor="text1"/>
              </w:rPr>
              <w:t>.</w:t>
            </w:r>
          </w:p>
          <w:p w14:paraId="3BCB0B46" w14:textId="0679F1D3" w:rsidR="004C4706" w:rsidRPr="007B082A" w:rsidRDefault="004C4706" w:rsidP="004C4706">
            <w:pPr>
              <w:pStyle w:val="ListParagraph"/>
              <w:numPr>
                <w:ilvl w:val="0"/>
                <w:numId w:val="13"/>
              </w:numPr>
              <w:rPr>
                <w:color w:val="000000" w:themeColor="text1"/>
              </w:rPr>
            </w:pPr>
            <w:r w:rsidRPr="000768C3">
              <w:rPr>
                <w:b/>
                <w:color w:val="000000" w:themeColor="text1"/>
              </w:rPr>
              <w:t>Potentially Preventable 30-Days Post-Discharge Readmission Measure- Post Acute Care (PAC):</w:t>
            </w:r>
            <w:r w:rsidRPr="00516405">
              <w:rPr>
                <w:color w:val="000000" w:themeColor="text1"/>
              </w:rPr>
              <w:t xml:space="preserve"> </w:t>
            </w:r>
            <w:r>
              <w:rPr>
                <w:color w:val="000000" w:themeColor="text1"/>
              </w:rPr>
              <w:t>Used in the LTCH, IRF, SNF,</w:t>
            </w:r>
            <w:r w:rsidR="0005725A">
              <w:rPr>
                <w:color w:val="000000" w:themeColor="text1"/>
              </w:rPr>
              <w:t xml:space="preserve"> and</w:t>
            </w:r>
            <w:r>
              <w:rPr>
                <w:color w:val="000000" w:themeColor="text1"/>
              </w:rPr>
              <w:t xml:space="preserve"> HH Q</w:t>
            </w:r>
            <w:r w:rsidR="0005725A">
              <w:rPr>
                <w:color w:val="000000" w:themeColor="text1"/>
              </w:rPr>
              <w:t>RP</w:t>
            </w:r>
            <w:r>
              <w:rPr>
                <w:color w:val="000000" w:themeColor="text1"/>
              </w:rPr>
              <w:t>s</w:t>
            </w:r>
            <w:r w:rsidR="000F4509">
              <w:rPr>
                <w:color w:val="000000" w:themeColor="text1"/>
              </w:rPr>
              <w:t>.</w:t>
            </w:r>
          </w:p>
          <w:p w14:paraId="774B8DE4" w14:textId="7B42AA56" w:rsidR="004C4706" w:rsidRPr="004C4706" w:rsidRDefault="004C4706" w:rsidP="004C4706">
            <w:pPr>
              <w:rPr>
                <w:color w:val="000000" w:themeColor="text1"/>
              </w:rPr>
            </w:pPr>
          </w:p>
        </w:tc>
      </w:tr>
      <w:tr w:rsidR="00384AEB" w14:paraId="0AB5AAFC" w14:textId="77777777" w:rsidTr="001D32E8">
        <w:trPr>
          <w:cantSplit/>
        </w:trPr>
        <w:tc>
          <w:tcPr>
            <w:tcW w:w="2155" w:type="dxa"/>
          </w:tcPr>
          <w:p w14:paraId="1D6B1659" w14:textId="77777777" w:rsidR="00384AEB" w:rsidRPr="007B082A" w:rsidRDefault="00384AEB" w:rsidP="005425FB">
            <w:r w:rsidRPr="007B082A">
              <w:t>Transfer of Health Information and Interoperability</w:t>
            </w:r>
          </w:p>
        </w:tc>
        <w:tc>
          <w:tcPr>
            <w:tcW w:w="4770" w:type="dxa"/>
          </w:tcPr>
          <w:p w14:paraId="304505F0" w14:textId="0805CDA1" w:rsidR="00384AEB" w:rsidRDefault="00384AEB" w:rsidP="00DC30FE">
            <w:r w:rsidRPr="007B082A">
              <w:t>Health information should be accessed, exchanged, and used seamlessly. It is critical that health information be kept secure but readily accessible</w:t>
            </w:r>
            <w:r w:rsidR="00DC30FE">
              <w:t xml:space="preserve"> to patients</w:t>
            </w:r>
            <w:r w:rsidRPr="007B082A">
              <w:t>, with the ability to transfer</w:t>
            </w:r>
            <w:r w:rsidR="0038450E">
              <w:t>, receive, and use</w:t>
            </w:r>
            <w:r w:rsidRPr="007B082A">
              <w:t xml:space="preserve"> such information seamlessly </w:t>
            </w:r>
            <w:r w:rsidR="0038450E">
              <w:t xml:space="preserve">and easily </w:t>
            </w:r>
            <w:r w:rsidRPr="007B082A">
              <w:t xml:space="preserve">among </w:t>
            </w:r>
            <w:r w:rsidR="00DC30FE">
              <w:t xml:space="preserve">additional </w:t>
            </w:r>
            <w:r w:rsidRPr="007B082A">
              <w:t>authorized parties (providers, payers, beneficiaries, family members)</w:t>
            </w:r>
            <w:r w:rsidR="0038450E">
              <w:t xml:space="preserve"> at the time that it is needed</w:t>
            </w:r>
            <w:r w:rsidRPr="007B082A">
              <w:t>.  Measures included in this area address goals related to achieving a more connected and interoperable health information technology system.</w:t>
            </w:r>
          </w:p>
        </w:tc>
        <w:tc>
          <w:tcPr>
            <w:tcW w:w="6192" w:type="dxa"/>
          </w:tcPr>
          <w:p w14:paraId="6301851A" w14:textId="4F303A1F" w:rsidR="00384AEB" w:rsidRDefault="00384AEB" w:rsidP="005425FB">
            <w:pPr>
              <w:pStyle w:val="ListParagraph"/>
              <w:numPr>
                <w:ilvl w:val="0"/>
                <w:numId w:val="13"/>
              </w:numPr>
            </w:pPr>
            <w:r w:rsidRPr="005C6DEF">
              <w:rPr>
                <w:b/>
              </w:rPr>
              <w:t>The Ability for Providers with HIT to Receive Laboratory Data Electronically Directly into their Qualified/Certified EHR System as Discrete Searchable Data</w:t>
            </w:r>
            <w:r>
              <w:t xml:space="preserve">: </w:t>
            </w:r>
            <w:r w:rsidR="0005725A">
              <w:t>U</w:t>
            </w:r>
            <w:r>
              <w:t xml:space="preserve">sed in Hospital Compare and </w:t>
            </w:r>
            <w:r w:rsidR="000F4509">
              <w:t>HOQR</w:t>
            </w:r>
            <w:r w:rsidR="0005725A">
              <w:t>.</w:t>
            </w:r>
          </w:p>
          <w:p w14:paraId="4C5C2A22" w14:textId="15DE90AA" w:rsidR="00384AEB" w:rsidRDefault="00384AEB" w:rsidP="005425FB">
            <w:pPr>
              <w:pStyle w:val="ListParagraph"/>
              <w:numPr>
                <w:ilvl w:val="0"/>
                <w:numId w:val="13"/>
              </w:numPr>
            </w:pPr>
            <w:r w:rsidRPr="005C6DEF">
              <w:rPr>
                <w:b/>
              </w:rPr>
              <w:t>Timely Transmission of Transition Record (Discharges from an Inpatient Facility to Home/Self Care or Any Other Site of Care)</w:t>
            </w:r>
            <w:r>
              <w:t xml:space="preserve">: Used in Hospital Compare and </w:t>
            </w:r>
            <w:r w:rsidR="0005725A">
              <w:t>IPFQR.</w:t>
            </w:r>
          </w:p>
          <w:p w14:paraId="06C94594" w14:textId="1109FD71" w:rsidR="00384AEB" w:rsidRDefault="00384AEB" w:rsidP="005425FB">
            <w:pPr>
              <w:pStyle w:val="ListParagraph"/>
              <w:numPr>
                <w:ilvl w:val="0"/>
                <w:numId w:val="13"/>
              </w:numPr>
            </w:pPr>
            <w:r w:rsidRPr="005C6DEF">
              <w:rPr>
                <w:b/>
              </w:rPr>
              <w:t>Closing the Referral Loop: Receipt of Specialist Report</w:t>
            </w:r>
            <w:r>
              <w:t xml:space="preserve">: </w:t>
            </w:r>
            <w:r w:rsidR="0005725A">
              <w:t xml:space="preserve">Used </w:t>
            </w:r>
            <w:r>
              <w:t>in MIPS.</w:t>
            </w:r>
          </w:p>
          <w:p w14:paraId="727EEF77" w14:textId="61A80826" w:rsidR="00384AEB" w:rsidRDefault="00384AEB" w:rsidP="00982B1E">
            <w:pPr>
              <w:pStyle w:val="ListParagraph"/>
              <w:numPr>
                <w:ilvl w:val="0"/>
                <w:numId w:val="13"/>
              </w:numPr>
            </w:pPr>
            <w:r>
              <w:rPr>
                <w:b/>
              </w:rPr>
              <w:t xml:space="preserve">Support </w:t>
            </w:r>
            <w:r w:rsidRPr="005C6DEF">
              <w:rPr>
                <w:b/>
              </w:rPr>
              <w:t>Electronic Referral Loops by Sending Health Information</w:t>
            </w:r>
            <w:r>
              <w:rPr>
                <w:b/>
              </w:rPr>
              <w:t>:</w:t>
            </w:r>
            <w:r>
              <w:t xml:space="preserve"> </w:t>
            </w:r>
            <w:r w:rsidR="0005725A">
              <w:t xml:space="preserve">Finalized </w:t>
            </w:r>
            <w:r>
              <w:t>for MIPS.</w:t>
            </w:r>
          </w:p>
        </w:tc>
      </w:tr>
      <w:tr w:rsidR="00384AEB" w14:paraId="56FDAF2E" w14:textId="77777777" w:rsidTr="001D32E8">
        <w:trPr>
          <w:cantSplit/>
        </w:trPr>
        <w:tc>
          <w:tcPr>
            <w:tcW w:w="13117" w:type="dxa"/>
            <w:gridSpan w:val="3"/>
            <w:shd w:val="clear" w:color="auto" w:fill="DEEAF6" w:themeFill="accent1" w:themeFillTint="33"/>
          </w:tcPr>
          <w:p w14:paraId="766D37AC" w14:textId="77777777" w:rsidR="00384AEB" w:rsidRDefault="00384AEB" w:rsidP="007F059A">
            <w:r w:rsidRPr="007F059A">
              <w:rPr>
                <w:b/>
                <w:sz w:val="28"/>
              </w:rPr>
              <w:t xml:space="preserve">Promote Effective Prevention &amp; Treatment of Chronic Disease </w:t>
            </w:r>
          </w:p>
        </w:tc>
      </w:tr>
      <w:tr w:rsidR="00384AEB" w14:paraId="676688D6" w14:textId="77777777" w:rsidTr="001D32E8">
        <w:trPr>
          <w:cantSplit/>
        </w:trPr>
        <w:tc>
          <w:tcPr>
            <w:tcW w:w="2155" w:type="dxa"/>
          </w:tcPr>
          <w:p w14:paraId="5D364E8D" w14:textId="77777777" w:rsidR="00384AEB" w:rsidRPr="007B082A" w:rsidRDefault="00384AEB" w:rsidP="005425FB">
            <w:r w:rsidRPr="007B082A">
              <w:lastRenderedPageBreak/>
              <w:t>Preventive Care</w:t>
            </w:r>
          </w:p>
        </w:tc>
        <w:tc>
          <w:tcPr>
            <w:tcW w:w="4770" w:type="dxa"/>
          </w:tcPr>
          <w:p w14:paraId="07706512" w14:textId="064D84CE" w:rsidR="00384AEB" w:rsidRDefault="00384AEB" w:rsidP="00C34B33">
            <w:r w:rsidRPr="007B082A">
              <w:t>Preventive care services include routine healthcare activities such as screenings, check-ups, and counseling that are focused on helping individuals avoid or enable early detection of disease</w:t>
            </w:r>
            <w:r w:rsidR="00C34B33">
              <w:t>,</w:t>
            </w:r>
            <w:r w:rsidRPr="007B082A">
              <w:t xml:space="preserve"> reduce the impact of health conditions</w:t>
            </w:r>
            <w:r w:rsidR="00C34B33">
              <w:t>, and promote wellness</w:t>
            </w:r>
            <w:r w:rsidRPr="007B082A">
              <w:t>.  Measures in this area are targeted at promoting accessibility, quality, and outcomes of effective preventive services. Examples include: promotion of oral health in children, prevention of diabetes and heart disease, immunization status, cancer screenings.</w:t>
            </w:r>
          </w:p>
        </w:tc>
        <w:tc>
          <w:tcPr>
            <w:tcW w:w="6192" w:type="dxa"/>
          </w:tcPr>
          <w:p w14:paraId="7DE221F3" w14:textId="784C2441" w:rsidR="00384AEB" w:rsidRDefault="00384AEB" w:rsidP="005425FB">
            <w:pPr>
              <w:pStyle w:val="ListParagraph"/>
              <w:numPr>
                <w:ilvl w:val="0"/>
                <w:numId w:val="13"/>
              </w:numPr>
              <w:rPr>
                <w:color w:val="000000" w:themeColor="text1"/>
              </w:rPr>
            </w:pPr>
            <w:r w:rsidRPr="002E2033">
              <w:rPr>
                <w:b/>
                <w:color w:val="000000" w:themeColor="text1"/>
              </w:rPr>
              <w:t>Breast Cancer Screening</w:t>
            </w:r>
            <w:r>
              <w:rPr>
                <w:color w:val="000000" w:themeColor="text1"/>
              </w:rPr>
              <w:t xml:space="preserve">: </w:t>
            </w:r>
            <w:r w:rsidR="0005725A">
              <w:rPr>
                <w:color w:val="000000" w:themeColor="text1"/>
              </w:rPr>
              <w:t xml:space="preserve">Used </w:t>
            </w:r>
            <w:r>
              <w:rPr>
                <w:color w:val="000000" w:themeColor="text1"/>
              </w:rPr>
              <w:t xml:space="preserve">in the MIPS Program and </w:t>
            </w:r>
            <w:r w:rsidR="00CB1971">
              <w:rPr>
                <w:color w:val="000000" w:themeColor="text1"/>
              </w:rPr>
              <w:t>Shared Savings Program</w:t>
            </w:r>
            <w:r>
              <w:rPr>
                <w:color w:val="000000" w:themeColor="text1"/>
              </w:rPr>
              <w:t>; NQF#2372</w:t>
            </w:r>
            <w:r w:rsidR="0005725A">
              <w:rPr>
                <w:color w:val="000000" w:themeColor="text1"/>
              </w:rPr>
              <w:t>.</w:t>
            </w:r>
          </w:p>
          <w:p w14:paraId="673D733E" w14:textId="29804455" w:rsidR="00384AEB" w:rsidRDefault="00384AEB" w:rsidP="005425FB">
            <w:pPr>
              <w:pStyle w:val="ListParagraph"/>
              <w:numPr>
                <w:ilvl w:val="0"/>
                <w:numId w:val="13"/>
              </w:numPr>
              <w:rPr>
                <w:color w:val="000000" w:themeColor="text1"/>
              </w:rPr>
            </w:pPr>
            <w:r w:rsidRPr="002E2033">
              <w:rPr>
                <w:b/>
                <w:color w:val="000000" w:themeColor="text1"/>
              </w:rPr>
              <w:t>Influenza Vaccination Coverage Among Healthcare Personnel</w:t>
            </w:r>
            <w:r>
              <w:rPr>
                <w:b/>
                <w:color w:val="000000" w:themeColor="text1"/>
              </w:rPr>
              <w:t>:</w:t>
            </w:r>
            <w:r>
              <w:rPr>
                <w:color w:val="000000" w:themeColor="text1"/>
              </w:rPr>
              <w:t xml:space="preserve"> </w:t>
            </w:r>
            <w:r w:rsidR="0005725A">
              <w:rPr>
                <w:color w:val="000000" w:themeColor="text1"/>
              </w:rPr>
              <w:t>U</w:t>
            </w:r>
            <w:r>
              <w:rPr>
                <w:color w:val="000000" w:themeColor="text1"/>
              </w:rPr>
              <w:t>sed in Hospital Compare, H</w:t>
            </w:r>
            <w:r w:rsidR="0005725A">
              <w:rPr>
                <w:color w:val="000000" w:themeColor="text1"/>
              </w:rPr>
              <w:t>OQR</w:t>
            </w:r>
            <w:r>
              <w:rPr>
                <w:color w:val="000000" w:themeColor="text1"/>
              </w:rPr>
              <w:t xml:space="preserve">, and </w:t>
            </w:r>
            <w:r w:rsidR="0005725A">
              <w:rPr>
                <w:color w:val="000000" w:themeColor="text1"/>
              </w:rPr>
              <w:t>PCHQR</w:t>
            </w:r>
            <w:r>
              <w:rPr>
                <w:color w:val="000000" w:themeColor="text1"/>
              </w:rPr>
              <w:t>; NQF#0431</w:t>
            </w:r>
            <w:r w:rsidR="0005725A">
              <w:rPr>
                <w:color w:val="000000" w:themeColor="text1"/>
              </w:rPr>
              <w:t>.</w:t>
            </w:r>
          </w:p>
          <w:p w14:paraId="3B7AF70D" w14:textId="38CA46E6" w:rsidR="00384AEB" w:rsidRDefault="00384AEB" w:rsidP="005425FB">
            <w:pPr>
              <w:pStyle w:val="ListParagraph"/>
              <w:numPr>
                <w:ilvl w:val="0"/>
                <w:numId w:val="13"/>
              </w:numPr>
              <w:rPr>
                <w:color w:val="000000" w:themeColor="text1"/>
              </w:rPr>
            </w:pPr>
            <w:r w:rsidRPr="00655322">
              <w:rPr>
                <w:b/>
                <w:color w:val="000000" w:themeColor="text1"/>
              </w:rPr>
              <w:t>Preventive Care and Screening: Body Mass Index (BMI) Screening and Follow-Up Plan</w:t>
            </w:r>
            <w:r>
              <w:rPr>
                <w:b/>
                <w:color w:val="000000" w:themeColor="text1"/>
              </w:rPr>
              <w:t>:</w:t>
            </w:r>
            <w:r>
              <w:rPr>
                <w:color w:val="000000" w:themeColor="text1"/>
              </w:rPr>
              <w:t xml:space="preserve"> </w:t>
            </w:r>
            <w:r w:rsidR="0005725A">
              <w:rPr>
                <w:color w:val="000000" w:themeColor="text1"/>
              </w:rPr>
              <w:t>U</w:t>
            </w:r>
            <w:r>
              <w:rPr>
                <w:color w:val="000000" w:themeColor="text1"/>
              </w:rPr>
              <w:t>sed in the MIPS Program; NQF#0421.</w:t>
            </w:r>
          </w:p>
          <w:p w14:paraId="77648C47" w14:textId="09F476DB" w:rsidR="00384AEB" w:rsidRPr="007B082A" w:rsidRDefault="00384AEB" w:rsidP="00982B1E">
            <w:pPr>
              <w:pStyle w:val="ListParagraph"/>
              <w:numPr>
                <w:ilvl w:val="0"/>
                <w:numId w:val="13"/>
              </w:numPr>
              <w:rPr>
                <w:color w:val="000000" w:themeColor="text1"/>
              </w:rPr>
            </w:pPr>
            <w:r w:rsidRPr="00655322">
              <w:rPr>
                <w:b/>
                <w:color w:val="000000" w:themeColor="text1"/>
              </w:rPr>
              <w:t>Well-Child Visits in the First 15 Months of Life</w:t>
            </w:r>
            <w:r>
              <w:rPr>
                <w:color w:val="000000" w:themeColor="text1"/>
              </w:rPr>
              <w:t xml:space="preserve">: </w:t>
            </w:r>
            <w:r w:rsidR="0005725A">
              <w:rPr>
                <w:color w:val="000000" w:themeColor="text1"/>
              </w:rPr>
              <w:t>U</w:t>
            </w:r>
            <w:r>
              <w:rPr>
                <w:color w:val="000000" w:themeColor="text1"/>
              </w:rPr>
              <w:t xml:space="preserve">sed in the Medicaid </w:t>
            </w:r>
            <w:r w:rsidR="00307580">
              <w:rPr>
                <w:color w:val="000000" w:themeColor="text1"/>
              </w:rPr>
              <w:t xml:space="preserve">and CHIP </w:t>
            </w:r>
            <w:r>
              <w:rPr>
                <w:color w:val="000000" w:themeColor="text1"/>
              </w:rPr>
              <w:t>Child Core Set</w:t>
            </w:r>
            <w:r w:rsidR="00307580">
              <w:rPr>
                <w:color w:val="000000" w:themeColor="text1"/>
              </w:rPr>
              <w:t>, Medicaid and CHIP Scorecard,</w:t>
            </w:r>
            <w:r>
              <w:rPr>
                <w:color w:val="000000" w:themeColor="text1"/>
              </w:rPr>
              <w:t xml:space="preserve"> </w:t>
            </w:r>
            <w:r w:rsidR="0005725A">
              <w:rPr>
                <w:color w:val="000000" w:themeColor="text1"/>
              </w:rPr>
              <w:t xml:space="preserve">and </w:t>
            </w:r>
            <w:r>
              <w:rPr>
                <w:color w:val="000000" w:themeColor="text1"/>
              </w:rPr>
              <w:t>Q</w:t>
            </w:r>
            <w:r w:rsidR="0005725A">
              <w:rPr>
                <w:color w:val="000000" w:themeColor="text1"/>
              </w:rPr>
              <w:t>HP QRS</w:t>
            </w:r>
            <w:r>
              <w:rPr>
                <w:color w:val="000000" w:themeColor="text1"/>
              </w:rPr>
              <w:t xml:space="preserve">; NQF#1392. </w:t>
            </w:r>
          </w:p>
        </w:tc>
      </w:tr>
      <w:tr w:rsidR="00384AEB" w14:paraId="49BC1CAD" w14:textId="77777777" w:rsidTr="001D32E8">
        <w:trPr>
          <w:cantSplit/>
        </w:trPr>
        <w:tc>
          <w:tcPr>
            <w:tcW w:w="2155" w:type="dxa"/>
          </w:tcPr>
          <w:p w14:paraId="639C5C1F" w14:textId="77777777" w:rsidR="00384AEB" w:rsidRPr="007B082A" w:rsidRDefault="00384AEB" w:rsidP="005425FB">
            <w:r w:rsidRPr="007B082A">
              <w:t>Management of Chronic Conditions</w:t>
            </w:r>
          </w:p>
        </w:tc>
        <w:tc>
          <w:tcPr>
            <w:tcW w:w="4770" w:type="dxa"/>
          </w:tcPr>
          <w:p w14:paraId="0086FE10" w14:textId="77777777" w:rsidR="00384AEB" w:rsidRDefault="00384AEB" w:rsidP="005425FB">
            <w:r w:rsidRPr="007B082A">
              <w:t>Conditions like heart disease, high blood pressure/hypertension, cancer, chronic pain, and diabetes are among the leading causes of morbidity and mortality in the United States.  This area includes quality measures and efforts focused on effective ongoing health care to manage these types of chronic conditions. [Note: Measures of care related to medication management, behavioral and mental health, and substance use are not included here since they are covered in separate measure areas.]</w:t>
            </w:r>
          </w:p>
        </w:tc>
        <w:tc>
          <w:tcPr>
            <w:tcW w:w="6192" w:type="dxa"/>
          </w:tcPr>
          <w:p w14:paraId="55CD5566" w14:textId="1432ED1F" w:rsidR="00384AEB" w:rsidRDefault="00384AEB" w:rsidP="005425FB">
            <w:pPr>
              <w:pStyle w:val="ListParagraph"/>
              <w:numPr>
                <w:ilvl w:val="0"/>
                <w:numId w:val="13"/>
              </w:numPr>
              <w:rPr>
                <w:color w:val="000000" w:themeColor="text1"/>
              </w:rPr>
            </w:pPr>
            <w:r w:rsidRPr="00655322">
              <w:rPr>
                <w:b/>
                <w:color w:val="000000" w:themeColor="text1"/>
              </w:rPr>
              <w:t>Oncology: Medical and Radiation – Plan of Care for Moderate to Severe Pain (used in Hospital Compare</w:t>
            </w:r>
            <w:r>
              <w:rPr>
                <w:color w:val="000000" w:themeColor="text1"/>
              </w:rPr>
              <w:t>:</w:t>
            </w:r>
            <w:r w:rsidR="0005725A">
              <w:rPr>
                <w:color w:val="000000" w:themeColor="text1"/>
              </w:rPr>
              <w:t xml:space="preserve"> Used in the PCHQR</w:t>
            </w:r>
            <w:r>
              <w:rPr>
                <w:color w:val="000000" w:themeColor="text1"/>
              </w:rPr>
              <w:t xml:space="preserve"> and MIPS Program; NQF#0383.</w:t>
            </w:r>
          </w:p>
          <w:p w14:paraId="4151FCA1" w14:textId="3F37B2C1" w:rsidR="00384AEB" w:rsidRDefault="00384AEB" w:rsidP="005425FB">
            <w:pPr>
              <w:pStyle w:val="ListParagraph"/>
              <w:numPr>
                <w:ilvl w:val="0"/>
                <w:numId w:val="13"/>
              </w:numPr>
              <w:rPr>
                <w:color w:val="000000" w:themeColor="text1"/>
              </w:rPr>
            </w:pPr>
            <w:r w:rsidRPr="00655322">
              <w:rPr>
                <w:b/>
                <w:color w:val="000000" w:themeColor="text1"/>
              </w:rPr>
              <w:t xml:space="preserve">Diabetes: Hemoglobin </w:t>
            </w:r>
            <w:proofErr w:type="gramStart"/>
            <w:r w:rsidRPr="00655322">
              <w:rPr>
                <w:b/>
                <w:color w:val="000000" w:themeColor="text1"/>
              </w:rPr>
              <w:t>A1c</w:t>
            </w:r>
            <w:proofErr w:type="gramEnd"/>
            <w:r w:rsidRPr="00655322">
              <w:rPr>
                <w:b/>
                <w:color w:val="000000" w:themeColor="text1"/>
              </w:rPr>
              <w:t xml:space="preserve"> Poor Control (&gt;9%)</w:t>
            </w:r>
            <w:r>
              <w:rPr>
                <w:color w:val="000000" w:themeColor="text1"/>
              </w:rPr>
              <w:t xml:space="preserve">: Used in the MIPS Program, </w:t>
            </w:r>
            <w:r w:rsidR="00CB1971">
              <w:rPr>
                <w:color w:val="000000" w:themeColor="text1"/>
              </w:rPr>
              <w:t>Shared Savings Program</w:t>
            </w:r>
            <w:r>
              <w:rPr>
                <w:color w:val="000000" w:themeColor="text1"/>
              </w:rPr>
              <w:t>, and the Medicaid Adult Core Set; NQF#0059.</w:t>
            </w:r>
          </w:p>
          <w:p w14:paraId="015571E0" w14:textId="77777777" w:rsidR="00384AEB" w:rsidRDefault="00384AEB" w:rsidP="005425FB">
            <w:pPr>
              <w:pStyle w:val="ListParagraph"/>
              <w:numPr>
                <w:ilvl w:val="0"/>
                <w:numId w:val="13"/>
              </w:numPr>
              <w:rPr>
                <w:color w:val="000000" w:themeColor="text1"/>
              </w:rPr>
            </w:pPr>
            <w:r w:rsidRPr="00655322">
              <w:rPr>
                <w:b/>
                <w:color w:val="000000" w:themeColor="text1"/>
              </w:rPr>
              <w:t>HIV Viral Load Suppression</w:t>
            </w:r>
            <w:r>
              <w:rPr>
                <w:color w:val="000000" w:themeColor="text1"/>
              </w:rPr>
              <w:t>: Used in the MIPS Program and the Medicaid Adult Core Set; NQF#2082.</w:t>
            </w:r>
          </w:p>
          <w:p w14:paraId="1A5433AB" w14:textId="56D15C2C" w:rsidR="00384AEB" w:rsidRDefault="00384AEB" w:rsidP="005425FB">
            <w:pPr>
              <w:pStyle w:val="ListParagraph"/>
              <w:numPr>
                <w:ilvl w:val="0"/>
                <w:numId w:val="13"/>
              </w:numPr>
              <w:rPr>
                <w:color w:val="000000" w:themeColor="text1"/>
              </w:rPr>
            </w:pPr>
            <w:r w:rsidRPr="00F971F4">
              <w:rPr>
                <w:b/>
                <w:color w:val="000000" w:themeColor="text1"/>
              </w:rPr>
              <w:t>Chronic Obstructive Pulmonary Disease: Spirometry Evaluation</w:t>
            </w:r>
            <w:r>
              <w:rPr>
                <w:color w:val="000000" w:themeColor="text1"/>
              </w:rPr>
              <w:t xml:space="preserve">: </w:t>
            </w:r>
            <w:r w:rsidR="0005725A">
              <w:rPr>
                <w:color w:val="000000" w:themeColor="text1"/>
              </w:rPr>
              <w:t>U</w:t>
            </w:r>
            <w:r>
              <w:rPr>
                <w:color w:val="000000" w:themeColor="text1"/>
              </w:rPr>
              <w:t>sed in the MIPS Program; NQF#0091.</w:t>
            </w:r>
          </w:p>
          <w:p w14:paraId="45FE597E" w14:textId="38C9D775" w:rsidR="00307580" w:rsidRPr="007B082A" w:rsidRDefault="00307580" w:rsidP="00982B1E">
            <w:pPr>
              <w:pStyle w:val="ListParagraph"/>
              <w:numPr>
                <w:ilvl w:val="0"/>
                <w:numId w:val="13"/>
              </w:numPr>
              <w:rPr>
                <w:color w:val="000000" w:themeColor="text1"/>
              </w:rPr>
            </w:pPr>
            <w:r w:rsidRPr="00307580">
              <w:rPr>
                <w:b/>
                <w:color w:val="000000" w:themeColor="text1"/>
              </w:rPr>
              <w:t>Controlling High Blood Pressure:</w:t>
            </w:r>
            <w:r w:rsidR="00941DCB">
              <w:rPr>
                <w:color w:val="000000" w:themeColor="text1"/>
              </w:rPr>
              <w:t xml:space="preserve"> </w:t>
            </w:r>
            <w:r w:rsidR="0005725A">
              <w:rPr>
                <w:color w:val="000000" w:themeColor="text1"/>
              </w:rPr>
              <w:t>U</w:t>
            </w:r>
            <w:r w:rsidR="00941DCB">
              <w:rPr>
                <w:color w:val="000000" w:themeColor="text1"/>
              </w:rPr>
              <w:t>sed in the Medicaid</w:t>
            </w:r>
            <w:r w:rsidRPr="00307580">
              <w:rPr>
                <w:color w:val="000000" w:themeColor="text1"/>
              </w:rPr>
              <w:t xml:space="preserve"> Adult Core Set and the Medicaid and CHIP Scorecard; NQF #0018</w:t>
            </w:r>
            <w:r w:rsidR="0005725A">
              <w:rPr>
                <w:color w:val="000000" w:themeColor="text1"/>
              </w:rPr>
              <w:t>.</w:t>
            </w:r>
          </w:p>
        </w:tc>
      </w:tr>
      <w:tr w:rsidR="00384AEB" w14:paraId="2740958A" w14:textId="77777777" w:rsidTr="001D32E8">
        <w:trPr>
          <w:cantSplit/>
        </w:trPr>
        <w:tc>
          <w:tcPr>
            <w:tcW w:w="2155" w:type="dxa"/>
          </w:tcPr>
          <w:p w14:paraId="50A4FF59" w14:textId="77777777" w:rsidR="00384AEB" w:rsidRPr="007B082A" w:rsidRDefault="00384AEB" w:rsidP="005425FB">
            <w:r w:rsidRPr="007B082A">
              <w:lastRenderedPageBreak/>
              <w:t xml:space="preserve">Prevention, Treatment, and Management of Behavioral and Mental Health </w:t>
            </w:r>
            <w:r w:rsidRPr="007B082A">
              <w:tab/>
            </w:r>
          </w:p>
        </w:tc>
        <w:tc>
          <w:tcPr>
            <w:tcW w:w="4770" w:type="dxa"/>
          </w:tcPr>
          <w:p w14:paraId="64E4E5C0" w14:textId="47FDC77C" w:rsidR="00384AEB" w:rsidRDefault="00384AEB" w:rsidP="0049435E">
            <w:r w:rsidRPr="007B082A">
              <w:t>Mental</w:t>
            </w:r>
            <w:r w:rsidR="003C0514">
              <w:t xml:space="preserve"> health</w:t>
            </w:r>
            <w:r w:rsidRPr="007B082A">
              <w:t xml:space="preserve"> disorders </w:t>
            </w:r>
            <w:r w:rsidR="0049435E">
              <w:t>can have a negative impact on a patient’s quality of life and physical health</w:t>
            </w:r>
            <w:r w:rsidRPr="007B082A">
              <w:t xml:space="preserve">.  Measures in this area focus on promoting opportunities to effectively </w:t>
            </w:r>
            <w:r w:rsidR="0049435E">
              <w:t>screen</w:t>
            </w:r>
            <w:r w:rsidR="0049435E" w:rsidRPr="007B082A">
              <w:t xml:space="preserve"> </w:t>
            </w:r>
            <w:r w:rsidRPr="007B082A">
              <w:t>and treat these conditions. [Note: Measures of care related to prevention and treatment of substance use disorders, including opioid use disorders, are not included here since they are covered in a separate measure area.]</w:t>
            </w:r>
          </w:p>
        </w:tc>
        <w:tc>
          <w:tcPr>
            <w:tcW w:w="6192" w:type="dxa"/>
          </w:tcPr>
          <w:p w14:paraId="3C4EF095" w14:textId="77777777" w:rsidR="00384AEB" w:rsidRPr="007B082A" w:rsidRDefault="00384AEB" w:rsidP="005425FB">
            <w:pPr>
              <w:numPr>
                <w:ilvl w:val="0"/>
                <w:numId w:val="13"/>
              </w:numPr>
            </w:pPr>
            <w:r w:rsidRPr="007B082A">
              <w:rPr>
                <w:b/>
              </w:rPr>
              <w:t>Adult Major Depressive Disorder (MDD): Suicide Risk Assessment:</w:t>
            </w:r>
            <w:r w:rsidRPr="007B082A">
              <w:t xml:space="preserve"> Used in the MIPS Program; NQF#0104.</w:t>
            </w:r>
          </w:p>
          <w:p w14:paraId="3B706B4E" w14:textId="77777777" w:rsidR="00384AEB" w:rsidRPr="007B082A" w:rsidRDefault="00384AEB" w:rsidP="005425FB">
            <w:pPr>
              <w:numPr>
                <w:ilvl w:val="0"/>
                <w:numId w:val="13"/>
              </w:numPr>
            </w:pPr>
            <w:r w:rsidRPr="007B082A">
              <w:rPr>
                <w:b/>
              </w:rPr>
              <w:t>Dementia: Cognitive Assessment</w:t>
            </w:r>
            <w:r w:rsidRPr="007B082A">
              <w:t>: Used in the MIPS Program; NQF#2872.</w:t>
            </w:r>
          </w:p>
          <w:p w14:paraId="62D16DBE" w14:textId="7B00557E" w:rsidR="00384AEB" w:rsidRPr="007B082A" w:rsidRDefault="00384AEB" w:rsidP="005425FB">
            <w:pPr>
              <w:numPr>
                <w:ilvl w:val="0"/>
                <w:numId w:val="13"/>
              </w:numPr>
            </w:pPr>
            <w:r w:rsidRPr="007B082A">
              <w:rPr>
                <w:b/>
              </w:rPr>
              <w:t>Follow-Up After Hospitalization for Mental Illness</w:t>
            </w:r>
            <w:r w:rsidRPr="007B082A">
              <w:t xml:space="preserve">: Used in Hospital Compare, </w:t>
            </w:r>
            <w:r w:rsidR="0005725A">
              <w:t>IPFQR</w:t>
            </w:r>
            <w:r w:rsidRPr="007B082A">
              <w:t xml:space="preserve">, MIPS Program, Medicaid </w:t>
            </w:r>
            <w:r w:rsidR="00941DCB">
              <w:t xml:space="preserve">and CHIP Child and </w:t>
            </w:r>
            <w:r w:rsidRPr="007B082A">
              <w:t>Adult Core Set</w:t>
            </w:r>
            <w:r w:rsidR="00307580">
              <w:t>s</w:t>
            </w:r>
            <w:r w:rsidRPr="007B082A">
              <w:t xml:space="preserve">; </w:t>
            </w:r>
            <w:r w:rsidR="00307580">
              <w:t xml:space="preserve">and Medicaid and CHIP Scorecard; </w:t>
            </w:r>
            <w:r w:rsidRPr="007B082A">
              <w:t>NQF#0576.</w:t>
            </w:r>
          </w:p>
          <w:p w14:paraId="176C0D22" w14:textId="77777777" w:rsidR="00384AEB" w:rsidRDefault="00384AEB" w:rsidP="005425FB">
            <w:pPr>
              <w:numPr>
                <w:ilvl w:val="0"/>
                <w:numId w:val="13"/>
              </w:numPr>
            </w:pPr>
            <w:r w:rsidRPr="007B082A">
              <w:rPr>
                <w:b/>
              </w:rPr>
              <w:t xml:space="preserve">Depression Remission at Six Months: </w:t>
            </w:r>
            <w:r w:rsidRPr="007B082A">
              <w:t>Used in the MIPS Program; NQF#0711.</w:t>
            </w:r>
          </w:p>
        </w:tc>
      </w:tr>
      <w:tr w:rsidR="00384AEB" w14:paraId="3BE020A6" w14:textId="77777777" w:rsidTr="001D32E8">
        <w:trPr>
          <w:cantSplit/>
        </w:trPr>
        <w:tc>
          <w:tcPr>
            <w:tcW w:w="2155" w:type="dxa"/>
          </w:tcPr>
          <w:p w14:paraId="73B58DD8" w14:textId="77777777" w:rsidR="00384AEB" w:rsidRPr="007B082A" w:rsidRDefault="00384AEB" w:rsidP="005425FB">
            <w:pPr>
              <w:tabs>
                <w:tab w:val="left" w:pos="1920"/>
              </w:tabs>
            </w:pPr>
            <w:r w:rsidRPr="007B082A">
              <w:t>Prevention and Treatment of Substance Abuse Disorders including Opioid Use Disorders</w:t>
            </w:r>
          </w:p>
        </w:tc>
        <w:tc>
          <w:tcPr>
            <w:tcW w:w="4770" w:type="dxa"/>
          </w:tcPr>
          <w:p w14:paraId="170F98F3" w14:textId="039A9A7C" w:rsidR="00384AEB" w:rsidRDefault="00384AEB" w:rsidP="005425FB">
            <w:r w:rsidRPr="007B082A">
              <w:t>Substance use disorders related to use</w:t>
            </w:r>
            <w:r w:rsidR="0049435E">
              <w:t>/inappropriate use</w:t>
            </w:r>
            <w:r w:rsidRPr="007B082A">
              <w:t xml:space="preserve"> of alcohol, tobacco, opioids, and other substances can be associated with significant clinical and functional impairment of the individuals who are affected.  This area includes measures related to prevention and treatment of these disorders.</w:t>
            </w:r>
          </w:p>
        </w:tc>
        <w:tc>
          <w:tcPr>
            <w:tcW w:w="6192" w:type="dxa"/>
          </w:tcPr>
          <w:p w14:paraId="4C6B50F5" w14:textId="56DCC107" w:rsidR="00384AEB" w:rsidRPr="007B082A" w:rsidRDefault="00384AEB" w:rsidP="005425FB">
            <w:pPr>
              <w:numPr>
                <w:ilvl w:val="0"/>
                <w:numId w:val="13"/>
              </w:numPr>
            </w:pPr>
            <w:r w:rsidRPr="007B082A">
              <w:rPr>
                <w:b/>
              </w:rPr>
              <w:t>Initiation and Engagement of Alcohol and Other Drug Dependence Treatment:</w:t>
            </w:r>
            <w:r w:rsidRPr="007B082A">
              <w:t xml:space="preserve"> Used in the MIPS Program</w:t>
            </w:r>
            <w:r w:rsidR="00307580">
              <w:t>,</w:t>
            </w:r>
            <w:r w:rsidRPr="007B082A">
              <w:t xml:space="preserve"> the Medicaid Adult Core Set</w:t>
            </w:r>
            <w:r w:rsidR="00307580">
              <w:t>, and the</w:t>
            </w:r>
            <w:r w:rsidR="00307580" w:rsidRPr="00307580">
              <w:t xml:space="preserve"> Medicaid and CHIP Scorecard</w:t>
            </w:r>
            <w:r w:rsidRPr="007B082A">
              <w:t>; NQF#0004.</w:t>
            </w:r>
          </w:p>
          <w:p w14:paraId="4C0DA710" w14:textId="5596D862" w:rsidR="00384AEB" w:rsidRPr="007B082A" w:rsidRDefault="00384AEB" w:rsidP="005425FB">
            <w:pPr>
              <w:numPr>
                <w:ilvl w:val="0"/>
                <w:numId w:val="13"/>
              </w:numPr>
            </w:pPr>
            <w:r w:rsidRPr="007B082A">
              <w:rPr>
                <w:b/>
              </w:rPr>
              <w:t>Use of Opioids at High Dosage in Persons Without Cancer</w:t>
            </w:r>
            <w:r w:rsidRPr="007B082A">
              <w:t>: Used in the Medicaid Adult Core Set</w:t>
            </w:r>
            <w:r w:rsidR="00307580">
              <w:t>, and the</w:t>
            </w:r>
            <w:r w:rsidR="00307580" w:rsidRPr="00307580">
              <w:t xml:space="preserve"> Medicaid and CHIP Scorecard</w:t>
            </w:r>
            <w:r w:rsidRPr="007B082A">
              <w:t>; NQF#2940.</w:t>
            </w:r>
          </w:p>
          <w:p w14:paraId="42CEE568" w14:textId="77777777" w:rsidR="00384AEB" w:rsidRPr="007B082A" w:rsidRDefault="00384AEB" w:rsidP="005425FB">
            <w:pPr>
              <w:numPr>
                <w:ilvl w:val="0"/>
                <w:numId w:val="13"/>
              </w:numPr>
            </w:pPr>
            <w:r w:rsidRPr="007B082A">
              <w:rPr>
                <w:b/>
              </w:rPr>
              <w:t>Preventive Care and Screening: Unhealthy Alcohol Use: Screening &amp; Brief Counseling:</w:t>
            </w:r>
            <w:r w:rsidRPr="007B082A">
              <w:t xml:space="preserve"> Used in the MIPS Program; NQF#2152.</w:t>
            </w:r>
          </w:p>
          <w:p w14:paraId="1643A365" w14:textId="77777777" w:rsidR="00384AEB" w:rsidRDefault="00384AEB" w:rsidP="005425FB">
            <w:pPr>
              <w:numPr>
                <w:ilvl w:val="0"/>
                <w:numId w:val="13"/>
              </w:numPr>
            </w:pPr>
            <w:r w:rsidRPr="007B082A">
              <w:rPr>
                <w:b/>
              </w:rPr>
              <w:t>Tobacco Use and Help with Quitting Among Adolescents</w:t>
            </w:r>
            <w:r w:rsidRPr="007B082A">
              <w:t>: Finalized for the MIPS Program; NQF#2803.</w:t>
            </w:r>
          </w:p>
        </w:tc>
      </w:tr>
      <w:tr w:rsidR="00384AEB" w14:paraId="3B89AD7D" w14:textId="77777777" w:rsidTr="001D32E8">
        <w:trPr>
          <w:cantSplit/>
        </w:trPr>
        <w:tc>
          <w:tcPr>
            <w:tcW w:w="2155" w:type="dxa"/>
          </w:tcPr>
          <w:p w14:paraId="20515AAC" w14:textId="77777777" w:rsidR="00384AEB" w:rsidRPr="007B082A" w:rsidRDefault="00384AEB" w:rsidP="005425FB">
            <w:r w:rsidRPr="007B082A">
              <w:t>Risk-Adjusted Mortality</w:t>
            </w:r>
          </w:p>
        </w:tc>
        <w:tc>
          <w:tcPr>
            <w:tcW w:w="4770" w:type="dxa"/>
          </w:tcPr>
          <w:p w14:paraId="6C102E35" w14:textId="77777777" w:rsidR="00384AEB" w:rsidRPr="007B082A" w:rsidRDefault="00384AEB" w:rsidP="005425FB">
            <w:pPr>
              <w:rPr>
                <w:color w:val="000000" w:themeColor="text1"/>
              </w:rPr>
            </w:pPr>
            <w:r w:rsidRPr="007B082A">
              <w:rPr>
                <w:color w:val="000000" w:themeColor="text1"/>
              </w:rPr>
              <w:t>Measuring mortality that occurs in proximity to healthcare service delivery can be used in efforts to promote high-quality care and accountability.  Such measures may be risk-adjusted for certain patient characteristics (such as existing comorbid conditions) in an attempt to make more accurate comparisons of care quality.</w:t>
            </w:r>
          </w:p>
        </w:tc>
        <w:tc>
          <w:tcPr>
            <w:tcW w:w="6192" w:type="dxa"/>
          </w:tcPr>
          <w:p w14:paraId="43C98A29" w14:textId="77777777" w:rsidR="00384AEB" w:rsidRDefault="00384AEB" w:rsidP="005425FB">
            <w:pPr>
              <w:pStyle w:val="ListParagraph"/>
              <w:numPr>
                <w:ilvl w:val="0"/>
                <w:numId w:val="13"/>
              </w:numPr>
              <w:rPr>
                <w:color w:val="000000" w:themeColor="text1"/>
              </w:rPr>
            </w:pPr>
            <w:r w:rsidRPr="00F971F4">
              <w:rPr>
                <w:b/>
                <w:color w:val="000000" w:themeColor="text1"/>
              </w:rPr>
              <w:t>Risk-Adjusted Operative Mortality for Coronary Artery Bypass Graft (CABG)</w:t>
            </w:r>
            <w:r>
              <w:rPr>
                <w:color w:val="000000" w:themeColor="text1"/>
              </w:rPr>
              <w:t>: Used in the MIPS Program; NQF#0119.</w:t>
            </w:r>
          </w:p>
          <w:p w14:paraId="68609D46" w14:textId="2C7E53E1" w:rsidR="00384AEB" w:rsidRDefault="00384AEB" w:rsidP="005425FB">
            <w:pPr>
              <w:pStyle w:val="ListParagraph"/>
              <w:numPr>
                <w:ilvl w:val="0"/>
                <w:numId w:val="13"/>
              </w:numPr>
              <w:rPr>
                <w:color w:val="000000" w:themeColor="text1"/>
              </w:rPr>
            </w:pPr>
            <w:r>
              <w:rPr>
                <w:b/>
                <w:color w:val="000000" w:themeColor="text1"/>
              </w:rPr>
              <w:t xml:space="preserve">Hospital 30-Day, All-Cause, Risk-Standardized Mortality Rate (RSMR) Following Pneumonia Hospitalization: </w:t>
            </w:r>
            <w:r>
              <w:rPr>
                <w:color w:val="000000" w:themeColor="text1"/>
              </w:rPr>
              <w:t xml:space="preserve">Used in Hospital Compare, HIQR, and </w:t>
            </w:r>
            <w:r w:rsidR="0005725A">
              <w:rPr>
                <w:color w:val="000000" w:themeColor="text1"/>
              </w:rPr>
              <w:t>H</w:t>
            </w:r>
            <w:r>
              <w:rPr>
                <w:color w:val="000000" w:themeColor="text1"/>
              </w:rPr>
              <w:t>VBP; NQF#0468.</w:t>
            </w:r>
          </w:p>
          <w:p w14:paraId="25C617BE" w14:textId="39B85E68" w:rsidR="0049435E" w:rsidRPr="007B082A" w:rsidRDefault="0049435E" w:rsidP="0049435E">
            <w:pPr>
              <w:pStyle w:val="ListParagraph"/>
              <w:numPr>
                <w:ilvl w:val="0"/>
                <w:numId w:val="13"/>
              </w:numPr>
              <w:rPr>
                <w:color w:val="000000" w:themeColor="text1"/>
              </w:rPr>
            </w:pPr>
            <w:r w:rsidRPr="004428DA">
              <w:rPr>
                <w:b/>
                <w:color w:val="000000" w:themeColor="text1"/>
              </w:rPr>
              <w:t>Operative Mortality Stratified by the Five STS-EACTS Mortality Categories:</w:t>
            </w:r>
            <w:r>
              <w:rPr>
                <w:color w:val="000000" w:themeColor="text1"/>
              </w:rPr>
              <w:t xml:space="preserve"> Finalized in the MIPS Program; NQF</w:t>
            </w:r>
            <w:r w:rsidR="004428DA">
              <w:rPr>
                <w:color w:val="000000" w:themeColor="text1"/>
              </w:rPr>
              <w:t>#0733</w:t>
            </w:r>
            <w:r w:rsidR="0005725A">
              <w:rPr>
                <w:color w:val="000000" w:themeColor="text1"/>
              </w:rPr>
              <w:t>.</w:t>
            </w:r>
          </w:p>
        </w:tc>
      </w:tr>
      <w:tr w:rsidR="00384AEB" w14:paraId="1BCD26F1" w14:textId="77777777" w:rsidTr="001D32E8">
        <w:trPr>
          <w:cantSplit/>
        </w:trPr>
        <w:tc>
          <w:tcPr>
            <w:tcW w:w="13117" w:type="dxa"/>
            <w:gridSpan w:val="3"/>
            <w:shd w:val="clear" w:color="auto" w:fill="DEEAF6" w:themeFill="accent1" w:themeFillTint="33"/>
            <w:vAlign w:val="center"/>
          </w:tcPr>
          <w:p w14:paraId="2BD1699B" w14:textId="77777777" w:rsidR="00384AEB" w:rsidRPr="007F059A" w:rsidRDefault="00384AEB" w:rsidP="007F059A">
            <w:pPr>
              <w:rPr>
                <w:b/>
                <w:color w:val="000000" w:themeColor="text1"/>
                <w:sz w:val="28"/>
              </w:rPr>
            </w:pPr>
            <w:r w:rsidRPr="007F059A">
              <w:rPr>
                <w:b/>
                <w:color w:val="000000" w:themeColor="text1"/>
                <w:sz w:val="28"/>
              </w:rPr>
              <w:lastRenderedPageBreak/>
              <w:t>Make Care Safer by Reducing Harm Caused in the Delivery of Care</w:t>
            </w:r>
          </w:p>
        </w:tc>
      </w:tr>
      <w:tr w:rsidR="00384AEB" w14:paraId="5F877335" w14:textId="77777777" w:rsidTr="001D32E8">
        <w:trPr>
          <w:cantSplit/>
        </w:trPr>
        <w:tc>
          <w:tcPr>
            <w:tcW w:w="2155" w:type="dxa"/>
          </w:tcPr>
          <w:p w14:paraId="285BB7E8" w14:textId="77777777" w:rsidR="00384AEB" w:rsidRPr="007B082A" w:rsidRDefault="00384AEB" w:rsidP="005425FB">
            <w:r w:rsidRPr="007B082A">
              <w:t>Healthcare-Associated Infections</w:t>
            </w:r>
          </w:p>
        </w:tc>
        <w:tc>
          <w:tcPr>
            <w:tcW w:w="4770" w:type="dxa"/>
          </w:tcPr>
          <w:p w14:paraId="61AAF647" w14:textId="77777777" w:rsidR="00384AEB" w:rsidRDefault="00384AEB" w:rsidP="005425FB">
            <w:r w:rsidRPr="007B082A">
              <w:t>Measures in this area focus on infections associated with the delivery of health care. Examples include MRSA, C-diff, central line-associated bloodstream infections, catheter-associated urinary tract infections, ventilator-associated pneumonia, and surgical site infections.”</w:t>
            </w:r>
          </w:p>
        </w:tc>
        <w:tc>
          <w:tcPr>
            <w:tcW w:w="6192" w:type="dxa"/>
          </w:tcPr>
          <w:p w14:paraId="76B6E811" w14:textId="77777777" w:rsidR="00384AEB" w:rsidRPr="007B082A" w:rsidRDefault="00384AEB" w:rsidP="005425FB">
            <w:pPr>
              <w:numPr>
                <w:ilvl w:val="0"/>
                <w:numId w:val="13"/>
              </w:numPr>
            </w:pPr>
            <w:r w:rsidRPr="007B082A">
              <w:rPr>
                <w:b/>
              </w:rPr>
              <w:t>Prevention of Central Venous Catheter (CVC)-Related Bloodstream Infections</w:t>
            </w:r>
            <w:r w:rsidRPr="007B082A">
              <w:t>: Used in the MIPS Program; NQF#2726.</w:t>
            </w:r>
          </w:p>
          <w:p w14:paraId="61F1D20E" w14:textId="7CB4906E" w:rsidR="00384AEB" w:rsidRPr="007B082A" w:rsidRDefault="00384AEB" w:rsidP="005425FB">
            <w:pPr>
              <w:numPr>
                <w:ilvl w:val="0"/>
                <w:numId w:val="13"/>
              </w:numPr>
            </w:pPr>
            <w:r w:rsidRPr="007B082A">
              <w:rPr>
                <w:b/>
              </w:rPr>
              <w:t>National Healthcare Safety Network (NHSN) Facility-wide Inpatient Hospital-onset Clostridium difficile Infection (CDI) Outcome Measure</w:t>
            </w:r>
            <w:r w:rsidRPr="007B082A">
              <w:t xml:space="preserve">: Used in the </w:t>
            </w:r>
            <w:r w:rsidR="0023586C">
              <w:t>HACRP</w:t>
            </w:r>
            <w:r w:rsidRPr="007B082A">
              <w:t>, Hospital Compare, HVBP, I</w:t>
            </w:r>
            <w:r w:rsidR="0023586C">
              <w:t>RF QRP, LTCH QRP, and PCHQR</w:t>
            </w:r>
            <w:r w:rsidRPr="007B082A">
              <w:t>; NQF#1717.</w:t>
            </w:r>
          </w:p>
          <w:p w14:paraId="151442EC" w14:textId="77777777" w:rsidR="00384AEB" w:rsidRPr="007B082A" w:rsidRDefault="00384AEB" w:rsidP="005425FB">
            <w:pPr>
              <w:numPr>
                <w:ilvl w:val="0"/>
                <w:numId w:val="13"/>
              </w:numPr>
            </w:pPr>
            <w:r w:rsidRPr="007B082A">
              <w:rPr>
                <w:b/>
              </w:rPr>
              <w:t>Percent of Residents with a Urinary Tract Infection (Long Stay)</w:t>
            </w:r>
            <w:r w:rsidRPr="007B082A">
              <w:t>: Used in the Nursing Home Quality Initiative; NQF#0684.</w:t>
            </w:r>
          </w:p>
          <w:p w14:paraId="3DA7A6BE" w14:textId="77777777" w:rsidR="00384AEB" w:rsidRDefault="00384AEB" w:rsidP="005425FB">
            <w:pPr>
              <w:numPr>
                <w:ilvl w:val="0"/>
                <w:numId w:val="13"/>
              </w:numPr>
            </w:pPr>
            <w:r w:rsidRPr="007B082A">
              <w:rPr>
                <w:b/>
              </w:rPr>
              <w:t>Coronary Artery Bypass Graft (CABG): Deep Sternal Wound Infection Rate</w:t>
            </w:r>
            <w:r w:rsidRPr="007B082A">
              <w:t>: Used in the MIPS Program; NQF#0130.</w:t>
            </w:r>
          </w:p>
          <w:p w14:paraId="4558176C" w14:textId="3615D90D" w:rsidR="00307580" w:rsidRDefault="00307580" w:rsidP="005425FB">
            <w:pPr>
              <w:numPr>
                <w:ilvl w:val="0"/>
                <w:numId w:val="13"/>
              </w:numPr>
            </w:pPr>
            <w:r w:rsidRPr="00307580">
              <w:rPr>
                <w:b/>
              </w:rPr>
              <w:t>Pediatric Central Line-Associated Bloodstream Infections:</w:t>
            </w:r>
            <w:r w:rsidRPr="00307580">
              <w:t xml:space="preserve"> </w:t>
            </w:r>
            <w:r w:rsidR="0023586C">
              <w:t>U</w:t>
            </w:r>
            <w:r w:rsidRPr="00307580">
              <w:t>sed in the Medicaid and CHIP Child Core Set; NQF #0139</w:t>
            </w:r>
            <w:r w:rsidR="0005725A">
              <w:t>.</w:t>
            </w:r>
          </w:p>
        </w:tc>
      </w:tr>
      <w:tr w:rsidR="00384AEB" w14:paraId="35121C53" w14:textId="77777777" w:rsidTr="001D32E8">
        <w:trPr>
          <w:cantSplit/>
        </w:trPr>
        <w:tc>
          <w:tcPr>
            <w:tcW w:w="2155" w:type="dxa"/>
          </w:tcPr>
          <w:p w14:paraId="6A5BA473" w14:textId="77777777" w:rsidR="00384AEB" w:rsidRPr="007B082A" w:rsidRDefault="00384AEB" w:rsidP="005425FB">
            <w:r w:rsidRPr="007B082A">
              <w:t>Preventable Healthcare Harm</w:t>
            </w:r>
          </w:p>
        </w:tc>
        <w:tc>
          <w:tcPr>
            <w:tcW w:w="4770" w:type="dxa"/>
          </w:tcPr>
          <w:p w14:paraId="58C0B4B4" w14:textId="77777777" w:rsidR="00384AEB" w:rsidRDefault="00384AEB" w:rsidP="005425FB">
            <w:r w:rsidRPr="007B082A">
              <w:t xml:space="preserve">This area focuses on unintended adverse events caused or influenced by the delivery of health care that could be prevented by avoiding errors and following accepted standards of care.  Examples include pressure ulcers, falls, </w:t>
            </w:r>
            <w:proofErr w:type="gramStart"/>
            <w:r w:rsidRPr="007B082A">
              <w:t>acute</w:t>
            </w:r>
            <w:proofErr w:type="gramEnd"/>
            <w:r w:rsidRPr="007B082A">
              <w:t xml:space="preserve"> kidney injury. [Note: Healthcare-Associated Infections (HAIs) and medication errors are not included here since they are covered in separate measure areas.]</w:t>
            </w:r>
          </w:p>
        </w:tc>
        <w:tc>
          <w:tcPr>
            <w:tcW w:w="6192" w:type="dxa"/>
          </w:tcPr>
          <w:p w14:paraId="6BFDDB38" w14:textId="35FBDB09" w:rsidR="00234D35" w:rsidRPr="0099562E" w:rsidRDefault="00234D35" w:rsidP="00234D35">
            <w:pPr>
              <w:pStyle w:val="ListParagraph"/>
              <w:numPr>
                <w:ilvl w:val="0"/>
                <w:numId w:val="15"/>
              </w:numPr>
              <w:rPr>
                <w:b/>
                <w:color w:val="000000" w:themeColor="text1"/>
              </w:rPr>
            </w:pPr>
            <w:bookmarkStart w:id="1" w:name="_Hlk9242108"/>
            <w:r w:rsidRPr="00D814FD">
              <w:rPr>
                <w:b/>
                <w:color w:val="000000" w:themeColor="text1"/>
              </w:rPr>
              <w:t>Changes in Skin Integrity Post-Acute Care: Pressure Ulcer/Injury</w:t>
            </w:r>
            <w:bookmarkEnd w:id="1"/>
            <w:r w:rsidRPr="0099562E">
              <w:rPr>
                <w:color w:val="000000" w:themeColor="text1"/>
              </w:rPr>
              <w:t xml:space="preserve">: Used in the </w:t>
            </w:r>
            <w:r w:rsidR="0023586C">
              <w:rPr>
                <w:color w:val="000000" w:themeColor="text1"/>
              </w:rPr>
              <w:t>LTCH, IRF, SNF, and HH QRPs.</w:t>
            </w:r>
          </w:p>
          <w:p w14:paraId="56819327" w14:textId="429CC2EC" w:rsidR="00234D35" w:rsidRDefault="00234D35" w:rsidP="00234D35">
            <w:pPr>
              <w:pStyle w:val="ListParagraph"/>
              <w:numPr>
                <w:ilvl w:val="0"/>
                <w:numId w:val="15"/>
              </w:numPr>
              <w:rPr>
                <w:b/>
                <w:color w:val="000000" w:themeColor="text1"/>
              </w:rPr>
            </w:pPr>
            <w:r w:rsidRPr="0099562E">
              <w:rPr>
                <w:b/>
                <w:color w:val="000000" w:themeColor="text1"/>
              </w:rPr>
              <w:t>Application of Percent of Residents Experiencing One or More Falls with Major Injury (Long Stay)</w:t>
            </w:r>
            <w:r>
              <w:rPr>
                <w:b/>
                <w:color w:val="000000" w:themeColor="text1"/>
              </w:rPr>
              <w:t xml:space="preserve">: </w:t>
            </w:r>
            <w:r w:rsidRPr="0099562E">
              <w:rPr>
                <w:color w:val="000000" w:themeColor="text1"/>
              </w:rPr>
              <w:t xml:space="preserve">Used in the </w:t>
            </w:r>
            <w:r w:rsidR="0023586C">
              <w:rPr>
                <w:color w:val="000000" w:themeColor="text1"/>
              </w:rPr>
              <w:t>LTCH, IRF, SNF, and HH QRPs</w:t>
            </w:r>
            <w:r>
              <w:rPr>
                <w:color w:val="000000" w:themeColor="text1"/>
              </w:rPr>
              <w:t>; NQF #0674</w:t>
            </w:r>
            <w:r w:rsidR="0023586C">
              <w:rPr>
                <w:color w:val="000000" w:themeColor="text1"/>
              </w:rPr>
              <w:t>.</w:t>
            </w:r>
          </w:p>
          <w:p w14:paraId="33CC59C6" w14:textId="77777777" w:rsidR="00384AEB" w:rsidRPr="00E8636A" w:rsidRDefault="00384AEB" w:rsidP="005425FB">
            <w:pPr>
              <w:pStyle w:val="ListParagraph"/>
              <w:numPr>
                <w:ilvl w:val="0"/>
                <w:numId w:val="15"/>
              </w:numPr>
              <w:rPr>
                <w:b/>
                <w:color w:val="000000" w:themeColor="text1"/>
              </w:rPr>
            </w:pPr>
            <w:r w:rsidRPr="00F971F4">
              <w:rPr>
                <w:b/>
                <w:color w:val="000000" w:themeColor="text1"/>
              </w:rPr>
              <w:t>Coronary Artery Bypass Graft (CABG): Postoperative Renal Failure</w:t>
            </w:r>
            <w:r>
              <w:rPr>
                <w:color w:val="000000" w:themeColor="text1"/>
              </w:rPr>
              <w:t>: Used in the MIPS Program; NQF#0114.</w:t>
            </w:r>
          </w:p>
          <w:p w14:paraId="419CBD2C" w14:textId="5370EC65" w:rsidR="00307580" w:rsidRPr="000768C3" w:rsidRDefault="00384AEB" w:rsidP="00982B1E">
            <w:pPr>
              <w:pStyle w:val="ListParagraph"/>
              <w:numPr>
                <w:ilvl w:val="0"/>
                <w:numId w:val="15"/>
              </w:numPr>
              <w:rPr>
                <w:b/>
                <w:color w:val="000000" w:themeColor="text1"/>
              </w:rPr>
            </w:pPr>
            <w:r>
              <w:rPr>
                <w:b/>
                <w:color w:val="000000" w:themeColor="text1"/>
              </w:rPr>
              <w:t>Wrong Site, Wrong Side, Wrong Patient, Wrong Procedure, Wrong Implant:</w:t>
            </w:r>
            <w:r>
              <w:rPr>
                <w:color w:val="000000" w:themeColor="text1"/>
              </w:rPr>
              <w:t xml:space="preserve"> Used in the A</w:t>
            </w:r>
            <w:r w:rsidR="0023586C">
              <w:rPr>
                <w:color w:val="000000" w:themeColor="text1"/>
              </w:rPr>
              <w:t>SCQR</w:t>
            </w:r>
            <w:r>
              <w:rPr>
                <w:color w:val="000000" w:themeColor="text1"/>
              </w:rPr>
              <w:t xml:space="preserve"> Program and Hospital Compar</w:t>
            </w:r>
            <w:r w:rsidR="0023586C">
              <w:rPr>
                <w:color w:val="000000" w:themeColor="text1"/>
              </w:rPr>
              <w:t>e.</w:t>
            </w:r>
          </w:p>
        </w:tc>
      </w:tr>
      <w:tr w:rsidR="007F059A" w14:paraId="1EC6A95B" w14:textId="77777777" w:rsidTr="001D32E8">
        <w:trPr>
          <w:cantSplit/>
        </w:trPr>
        <w:tc>
          <w:tcPr>
            <w:tcW w:w="13117" w:type="dxa"/>
            <w:gridSpan w:val="3"/>
            <w:shd w:val="clear" w:color="auto" w:fill="DEEAF6" w:themeFill="accent1" w:themeFillTint="33"/>
          </w:tcPr>
          <w:p w14:paraId="12D55FBE" w14:textId="77777777" w:rsidR="007F059A" w:rsidRPr="007F059A" w:rsidRDefault="007F059A" w:rsidP="007F059A">
            <w:pPr>
              <w:rPr>
                <w:b/>
                <w:color w:val="000000" w:themeColor="text1"/>
                <w:sz w:val="28"/>
              </w:rPr>
            </w:pPr>
            <w:r w:rsidRPr="007F059A">
              <w:rPr>
                <w:b/>
                <w:color w:val="000000" w:themeColor="text1"/>
                <w:sz w:val="28"/>
              </w:rPr>
              <w:t>Work with Communities to Promote Best Practices of Healthy Living</w:t>
            </w:r>
          </w:p>
        </w:tc>
      </w:tr>
      <w:tr w:rsidR="007F059A" w14:paraId="5CAC9F14" w14:textId="77777777" w:rsidTr="001D32E8">
        <w:trPr>
          <w:cantSplit/>
        </w:trPr>
        <w:tc>
          <w:tcPr>
            <w:tcW w:w="2155" w:type="dxa"/>
          </w:tcPr>
          <w:p w14:paraId="465BDDC7" w14:textId="77777777" w:rsidR="007F059A" w:rsidRPr="007B082A" w:rsidRDefault="007F059A" w:rsidP="005425FB">
            <w:r>
              <w:lastRenderedPageBreak/>
              <w:t>Equity of Care</w:t>
            </w:r>
          </w:p>
        </w:tc>
        <w:tc>
          <w:tcPr>
            <w:tcW w:w="4770" w:type="dxa"/>
          </w:tcPr>
          <w:p w14:paraId="4D57ED57" w14:textId="77777777" w:rsidR="007F059A" w:rsidRPr="007B082A" w:rsidRDefault="005D6F01" w:rsidP="005425FB">
            <w:r w:rsidRPr="005D6F01">
              <w:t>This area focuses on measures used to advance care quality for minority and other underserved individuals, including measures of cultural competence and access to care. Such measures can be used as part of a broader strategy to increase understanding and awareness of disparities, develop relevant solutions, and promote faster implementation of effective actions</w:t>
            </w:r>
            <w:r w:rsidR="000F4F29">
              <w:t>.</w:t>
            </w:r>
          </w:p>
        </w:tc>
        <w:tc>
          <w:tcPr>
            <w:tcW w:w="6192" w:type="dxa"/>
          </w:tcPr>
          <w:p w14:paraId="5C6D002D" w14:textId="1214A585" w:rsidR="00172886" w:rsidRPr="00141A38" w:rsidRDefault="0000602D" w:rsidP="00982B1E">
            <w:pPr>
              <w:pStyle w:val="ListParagraph"/>
              <w:numPr>
                <w:ilvl w:val="0"/>
                <w:numId w:val="15"/>
              </w:numPr>
              <w:rPr>
                <w:b/>
                <w:color w:val="000000" w:themeColor="text1"/>
              </w:rPr>
            </w:pPr>
            <w:r>
              <w:rPr>
                <w:b/>
                <w:color w:val="000000" w:themeColor="text1"/>
              </w:rPr>
              <w:t>Access to Care</w:t>
            </w:r>
            <w:r>
              <w:rPr>
                <w:color w:val="000000" w:themeColor="text1"/>
              </w:rPr>
              <w:t xml:space="preserve">: Used in the </w:t>
            </w:r>
            <w:r w:rsidR="0023586C">
              <w:rPr>
                <w:color w:val="000000" w:themeColor="text1"/>
              </w:rPr>
              <w:t>QHP QRS.</w:t>
            </w:r>
          </w:p>
        </w:tc>
      </w:tr>
      <w:tr w:rsidR="007F059A" w14:paraId="0E4824D7" w14:textId="77777777" w:rsidTr="001D32E8">
        <w:trPr>
          <w:cantSplit/>
        </w:trPr>
        <w:tc>
          <w:tcPr>
            <w:tcW w:w="2155" w:type="dxa"/>
          </w:tcPr>
          <w:p w14:paraId="655FAF36" w14:textId="77777777" w:rsidR="007F059A" w:rsidRPr="007B082A" w:rsidRDefault="007F059A" w:rsidP="005425FB">
            <w:r>
              <w:t>Community Engagement</w:t>
            </w:r>
          </w:p>
        </w:tc>
        <w:tc>
          <w:tcPr>
            <w:tcW w:w="4770" w:type="dxa"/>
          </w:tcPr>
          <w:p w14:paraId="22D18881" w14:textId="1FDF8A6E" w:rsidR="007F059A" w:rsidRPr="007B082A" w:rsidRDefault="000F4F29" w:rsidP="005425FB">
            <w:r w:rsidRPr="000F4F29">
              <w:t>Communities can leverage a variety of resources to support the maintenance and improvement of health</w:t>
            </w:r>
            <w:r w:rsidR="004428DA">
              <w:t>, function, and quality of life</w:t>
            </w:r>
            <w:r w:rsidRPr="000F4F29">
              <w:t xml:space="preserve"> among the individuals and families of which they are comprised.  Measures in this area target activities that promote engagement of communities to carry out these types of efforts.</w:t>
            </w:r>
          </w:p>
        </w:tc>
        <w:tc>
          <w:tcPr>
            <w:tcW w:w="6192" w:type="dxa"/>
          </w:tcPr>
          <w:p w14:paraId="12983586" w14:textId="52BC1481" w:rsidR="00234D35" w:rsidRDefault="00234D35" w:rsidP="00234D35">
            <w:pPr>
              <w:pStyle w:val="ListParagraph"/>
              <w:numPr>
                <w:ilvl w:val="0"/>
                <w:numId w:val="15"/>
              </w:numPr>
              <w:rPr>
                <w:b/>
                <w:color w:val="000000" w:themeColor="text1"/>
              </w:rPr>
            </w:pPr>
            <w:r w:rsidRPr="00067B81">
              <w:rPr>
                <w:b/>
                <w:color w:val="000000" w:themeColor="text1"/>
              </w:rPr>
              <w:t>Discharge to Community- Post Acute Care (PAC)</w:t>
            </w:r>
            <w:r>
              <w:rPr>
                <w:b/>
                <w:color w:val="000000" w:themeColor="text1"/>
              </w:rPr>
              <w:t>:</w:t>
            </w:r>
            <w:r w:rsidRPr="00516405">
              <w:rPr>
                <w:color w:val="000000" w:themeColor="text1"/>
              </w:rPr>
              <w:t xml:space="preserve"> </w:t>
            </w:r>
            <w:r>
              <w:rPr>
                <w:color w:val="000000" w:themeColor="text1"/>
              </w:rPr>
              <w:t xml:space="preserve">Used in the </w:t>
            </w:r>
            <w:r w:rsidR="0023586C">
              <w:rPr>
                <w:color w:val="000000" w:themeColor="text1"/>
              </w:rPr>
              <w:t>LTCH, IRF, SNF, and HH QRPs.</w:t>
            </w:r>
          </w:p>
          <w:p w14:paraId="3A4543D5" w14:textId="1FD46766" w:rsidR="0029334C" w:rsidRPr="00F971F4" w:rsidRDefault="001033A7" w:rsidP="00982B1E">
            <w:pPr>
              <w:pStyle w:val="ListParagraph"/>
              <w:numPr>
                <w:ilvl w:val="0"/>
                <w:numId w:val="15"/>
              </w:numPr>
              <w:rPr>
                <w:b/>
                <w:color w:val="000000" w:themeColor="text1"/>
              </w:rPr>
            </w:pPr>
            <w:r w:rsidRPr="001033A7">
              <w:rPr>
                <w:b/>
                <w:color w:val="000000" w:themeColor="text1"/>
              </w:rPr>
              <w:t>Percentage of Participants Not in Nursing Homes</w:t>
            </w:r>
            <w:r>
              <w:rPr>
                <w:color w:val="000000" w:themeColor="text1"/>
              </w:rPr>
              <w:t xml:space="preserve">: Under development for </w:t>
            </w:r>
            <w:r w:rsidR="0023586C">
              <w:rPr>
                <w:color w:val="000000" w:themeColor="text1"/>
              </w:rPr>
              <w:t>PACE.</w:t>
            </w:r>
          </w:p>
        </w:tc>
      </w:tr>
      <w:tr w:rsidR="007F059A" w14:paraId="78B19E44" w14:textId="77777777" w:rsidTr="001D32E8">
        <w:trPr>
          <w:cantSplit/>
        </w:trPr>
        <w:tc>
          <w:tcPr>
            <w:tcW w:w="13117" w:type="dxa"/>
            <w:gridSpan w:val="3"/>
            <w:shd w:val="clear" w:color="auto" w:fill="DEEAF6" w:themeFill="accent1" w:themeFillTint="33"/>
          </w:tcPr>
          <w:p w14:paraId="00B9F326" w14:textId="77777777" w:rsidR="007F059A" w:rsidRPr="007F059A" w:rsidRDefault="007F059A" w:rsidP="007F059A">
            <w:pPr>
              <w:rPr>
                <w:b/>
                <w:color w:val="000000" w:themeColor="text1"/>
                <w:sz w:val="28"/>
              </w:rPr>
            </w:pPr>
            <w:r w:rsidRPr="000768C3">
              <w:rPr>
                <w:b/>
                <w:color w:val="000000" w:themeColor="text1"/>
                <w:sz w:val="28"/>
              </w:rPr>
              <w:t>Make Care Affordable</w:t>
            </w:r>
          </w:p>
        </w:tc>
      </w:tr>
      <w:tr w:rsidR="00DC1F8C" w14:paraId="7FD7B887" w14:textId="77777777" w:rsidTr="001D32E8">
        <w:trPr>
          <w:cantSplit/>
        </w:trPr>
        <w:tc>
          <w:tcPr>
            <w:tcW w:w="2155" w:type="dxa"/>
          </w:tcPr>
          <w:p w14:paraId="51119003" w14:textId="77777777" w:rsidR="00DC1F8C" w:rsidRPr="007B082A" w:rsidRDefault="00DC1F8C" w:rsidP="00DC1F8C">
            <w:r w:rsidRPr="00DC1F8C">
              <w:t>Patient-focused Episode of Care</w:t>
            </w:r>
          </w:p>
        </w:tc>
        <w:tc>
          <w:tcPr>
            <w:tcW w:w="4770" w:type="dxa"/>
          </w:tcPr>
          <w:p w14:paraId="29CEAB77" w14:textId="77777777" w:rsidR="00DC1F8C" w:rsidRPr="007B082A" w:rsidRDefault="00DC1F8C" w:rsidP="00DC1F8C">
            <w:r w:rsidRPr="00DC1F8C">
              <w:t>Measures in this area emphasize care delivered through a longitudinal, episode-based approach that places the patient at the center of focus.  These measures can help guide improvements in the effectiveness and efficiency of care.</w:t>
            </w:r>
          </w:p>
        </w:tc>
        <w:tc>
          <w:tcPr>
            <w:tcW w:w="6192" w:type="dxa"/>
          </w:tcPr>
          <w:p w14:paraId="6B81F47C" w14:textId="328F6FC6" w:rsidR="00DC1F8C" w:rsidRPr="000768C3" w:rsidRDefault="00A86922" w:rsidP="009F5F54">
            <w:pPr>
              <w:pStyle w:val="ListParagraph"/>
              <w:numPr>
                <w:ilvl w:val="0"/>
                <w:numId w:val="15"/>
              </w:numPr>
              <w:rPr>
                <w:b/>
                <w:color w:val="000000" w:themeColor="text1"/>
              </w:rPr>
            </w:pPr>
            <w:r w:rsidRPr="00A86922">
              <w:rPr>
                <w:b/>
                <w:color w:val="000000" w:themeColor="text1"/>
              </w:rPr>
              <w:t>Hospital-level, Risk-Standardized Payment Associated with a 30-day Episode-of-Care for Heart Failure (HF)</w:t>
            </w:r>
            <w:r>
              <w:rPr>
                <w:color w:val="000000" w:themeColor="text1"/>
              </w:rPr>
              <w:t xml:space="preserve">: Used in </w:t>
            </w:r>
            <w:r w:rsidR="00F8368C">
              <w:rPr>
                <w:color w:val="000000" w:themeColor="text1"/>
              </w:rPr>
              <w:t xml:space="preserve">Hospital Compare and </w:t>
            </w:r>
            <w:r w:rsidR="0023586C">
              <w:rPr>
                <w:color w:val="000000" w:themeColor="text1"/>
              </w:rPr>
              <w:t>H</w:t>
            </w:r>
            <w:r w:rsidR="00F8368C">
              <w:rPr>
                <w:color w:val="000000" w:themeColor="text1"/>
              </w:rPr>
              <w:t xml:space="preserve">IQR; </w:t>
            </w:r>
            <w:r w:rsidRPr="00A86922">
              <w:rPr>
                <w:color w:val="000000" w:themeColor="text1"/>
              </w:rPr>
              <w:t>NQF #2436</w:t>
            </w:r>
            <w:r w:rsidR="0023586C">
              <w:rPr>
                <w:color w:val="000000" w:themeColor="text1"/>
              </w:rPr>
              <w:t>.</w:t>
            </w:r>
          </w:p>
          <w:p w14:paraId="4BB6E441" w14:textId="77777777" w:rsidR="00234D35" w:rsidRPr="009F5F54" w:rsidRDefault="00234D35" w:rsidP="009F5F54">
            <w:pPr>
              <w:pStyle w:val="ListParagraph"/>
              <w:numPr>
                <w:ilvl w:val="0"/>
                <w:numId w:val="15"/>
              </w:numPr>
              <w:rPr>
                <w:b/>
                <w:color w:val="000000" w:themeColor="text1"/>
              </w:rPr>
            </w:pPr>
            <w:r>
              <w:rPr>
                <w:b/>
                <w:color w:val="000000" w:themeColor="text1"/>
              </w:rPr>
              <w:t xml:space="preserve">Payment Standardized </w:t>
            </w:r>
            <w:r w:rsidR="00D213AC">
              <w:rPr>
                <w:b/>
                <w:color w:val="000000" w:themeColor="text1"/>
              </w:rPr>
              <w:t>M</w:t>
            </w:r>
            <w:r>
              <w:rPr>
                <w:b/>
                <w:color w:val="000000" w:themeColor="text1"/>
              </w:rPr>
              <w:t xml:space="preserve">edicare Spending Per Beneficiary: </w:t>
            </w:r>
            <w:r w:rsidRPr="000768C3">
              <w:rPr>
                <w:color w:val="000000" w:themeColor="text1"/>
              </w:rPr>
              <w:t>Used in Hospital Compare</w:t>
            </w:r>
            <w:r w:rsidR="0023586C">
              <w:rPr>
                <w:color w:val="000000" w:themeColor="text1"/>
              </w:rPr>
              <w:t>,</w:t>
            </w:r>
            <w:r w:rsidRPr="000768C3">
              <w:rPr>
                <w:color w:val="000000" w:themeColor="text1"/>
              </w:rPr>
              <w:t xml:space="preserve"> H</w:t>
            </w:r>
            <w:r w:rsidR="0023586C">
              <w:rPr>
                <w:color w:val="000000" w:themeColor="text1"/>
              </w:rPr>
              <w:t>IQR</w:t>
            </w:r>
            <w:r w:rsidRPr="000768C3">
              <w:rPr>
                <w:color w:val="000000" w:themeColor="text1"/>
              </w:rPr>
              <w:t>,</w:t>
            </w:r>
            <w:r w:rsidR="0023586C">
              <w:rPr>
                <w:color w:val="000000" w:themeColor="text1"/>
              </w:rPr>
              <w:t xml:space="preserve"> and</w:t>
            </w:r>
            <w:r w:rsidRPr="000768C3">
              <w:rPr>
                <w:color w:val="000000" w:themeColor="text1"/>
              </w:rPr>
              <w:t xml:space="preserve"> H</w:t>
            </w:r>
            <w:r w:rsidR="0023586C">
              <w:rPr>
                <w:color w:val="000000" w:themeColor="text1"/>
              </w:rPr>
              <w:t>VBP</w:t>
            </w:r>
            <w:r>
              <w:rPr>
                <w:color w:val="000000" w:themeColor="text1"/>
              </w:rPr>
              <w:t>; NQF#2158</w:t>
            </w:r>
            <w:r w:rsidR="0023586C">
              <w:rPr>
                <w:color w:val="000000" w:themeColor="text1"/>
              </w:rPr>
              <w:t>.</w:t>
            </w:r>
          </w:p>
          <w:p w14:paraId="3D682D8D" w14:textId="77777777" w:rsidR="009F5F54" w:rsidRDefault="009F5F54" w:rsidP="009F5F54">
            <w:pPr>
              <w:pStyle w:val="ListParagraph"/>
              <w:numPr>
                <w:ilvl w:val="0"/>
                <w:numId w:val="15"/>
              </w:numPr>
            </w:pPr>
            <w:r w:rsidRPr="009F5F54">
              <w:rPr>
                <w:b/>
              </w:rPr>
              <w:t>Spinal Fusion Clinical Episode-Based Payment (</w:t>
            </w:r>
            <w:proofErr w:type="spellStart"/>
            <w:r w:rsidRPr="009F5F54">
              <w:rPr>
                <w:b/>
              </w:rPr>
              <w:t>SFusion</w:t>
            </w:r>
            <w:proofErr w:type="spellEnd"/>
            <w:r w:rsidRPr="009F5F54">
              <w:rPr>
                <w:b/>
              </w:rPr>
              <w:t xml:space="preserve"> Payment) Measure:</w:t>
            </w:r>
            <w:r>
              <w:t xml:space="preserve"> Used in HIQR.</w:t>
            </w:r>
          </w:p>
          <w:p w14:paraId="7894CF0A" w14:textId="1C9889B2" w:rsidR="009F5F54" w:rsidRPr="009F5F54" w:rsidRDefault="009F5F54" w:rsidP="009F5F54">
            <w:pPr>
              <w:pStyle w:val="ListParagraph"/>
              <w:numPr>
                <w:ilvl w:val="0"/>
                <w:numId w:val="15"/>
              </w:numPr>
            </w:pPr>
            <w:r w:rsidRPr="009F5F54">
              <w:rPr>
                <w:b/>
              </w:rPr>
              <w:t>Hospital-level, risk-standardized payment associated with a 90-day episode of care for elective primary total hip and/or total knee arthroplasty (THA/TKA):</w:t>
            </w:r>
            <w:r>
              <w:t xml:space="preserve"> Used in Hospital Compare and HIQR.</w:t>
            </w:r>
          </w:p>
        </w:tc>
      </w:tr>
      <w:tr w:rsidR="009B60E2" w14:paraId="0774138D" w14:textId="77777777" w:rsidTr="001D32E8">
        <w:trPr>
          <w:cantSplit/>
        </w:trPr>
        <w:tc>
          <w:tcPr>
            <w:tcW w:w="2155" w:type="dxa"/>
          </w:tcPr>
          <w:p w14:paraId="11CF03AA" w14:textId="571CC7F4" w:rsidR="009B60E2" w:rsidRPr="007B082A" w:rsidRDefault="009B60E2" w:rsidP="009B60E2">
            <w:r w:rsidRPr="00DC1F8C">
              <w:lastRenderedPageBreak/>
              <w:t>Risk Adjusted Total Cost of Care</w:t>
            </w:r>
          </w:p>
        </w:tc>
        <w:tc>
          <w:tcPr>
            <w:tcW w:w="4770" w:type="dxa"/>
          </w:tcPr>
          <w:p w14:paraId="4DCC4488" w14:textId="062FB0B0" w:rsidR="009B60E2" w:rsidRPr="007B082A" w:rsidRDefault="009B60E2" w:rsidP="009B60E2">
            <w:r w:rsidRPr="00DC1F8C">
              <w:t>Assessing total cost of care can be used to help identify potential overuse and inefficiency of healthcare services, as well as potential opportunities for cost savings.  Measures in this area may be risk-adjusted (for example, based on patient characteristics) in an attempt to make more accurate comparisons among entities providing care for different populations.</w:t>
            </w:r>
          </w:p>
        </w:tc>
        <w:tc>
          <w:tcPr>
            <w:tcW w:w="6192" w:type="dxa"/>
          </w:tcPr>
          <w:p w14:paraId="16C532E6" w14:textId="7BBEF78F" w:rsidR="001033A7" w:rsidRPr="00CE0AC1" w:rsidRDefault="009B60E2" w:rsidP="00CE0AC1">
            <w:pPr>
              <w:pStyle w:val="ListParagraph"/>
              <w:numPr>
                <w:ilvl w:val="0"/>
                <w:numId w:val="15"/>
              </w:numPr>
              <w:rPr>
                <w:b/>
                <w:color w:val="000000" w:themeColor="text1"/>
              </w:rPr>
            </w:pPr>
            <w:r>
              <w:rPr>
                <w:b/>
                <w:color w:val="000000" w:themeColor="text1"/>
              </w:rPr>
              <w:t>Total Per Capita Costs</w:t>
            </w:r>
            <w:r>
              <w:rPr>
                <w:color w:val="000000" w:themeColor="text1"/>
              </w:rPr>
              <w:t>: Used in the MIPS Program</w:t>
            </w:r>
            <w:r w:rsidR="006A4538">
              <w:rPr>
                <w:color w:val="000000" w:themeColor="text1"/>
              </w:rPr>
              <w:t>.</w:t>
            </w:r>
          </w:p>
          <w:p w14:paraId="306E02F4" w14:textId="7BA95AFE" w:rsidR="009B60E2" w:rsidRPr="00F971F4" w:rsidRDefault="009B60E2" w:rsidP="000768C3">
            <w:pPr>
              <w:pStyle w:val="ListParagraph"/>
              <w:ind w:left="288"/>
              <w:rPr>
                <w:b/>
                <w:color w:val="000000" w:themeColor="text1"/>
              </w:rPr>
            </w:pPr>
          </w:p>
        </w:tc>
      </w:tr>
      <w:tr w:rsidR="009B60E2" w14:paraId="6BB572B8" w14:textId="77777777" w:rsidTr="001D32E8">
        <w:trPr>
          <w:cantSplit/>
        </w:trPr>
        <w:tc>
          <w:tcPr>
            <w:tcW w:w="2155" w:type="dxa"/>
          </w:tcPr>
          <w:p w14:paraId="0B1EB196" w14:textId="09F71AF2" w:rsidR="009B60E2" w:rsidRPr="007B082A" w:rsidRDefault="009B60E2" w:rsidP="00A4497D">
            <w:r>
              <w:t>Appropriate Use of Healthcare</w:t>
            </w:r>
          </w:p>
        </w:tc>
        <w:tc>
          <w:tcPr>
            <w:tcW w:w="4770" w:type="dxa"/>
          </w:tcPr>
          <w:p w14:paraId="338F8529" w14:textId="44BDC7E3" w:rsidR="009B60E2" w:rsidRPr="007B082A" w:rsidRDefault="00C86AE4" w:rsidP="009B60E2">
            <w:r w:rsidRPr="00C86AE4">
              <w:t>Provision of healthcare services or processes may not be appropriate when they are ineffective or do not lead to sufficient overall health benefit for a patient.  This area focuses on measures designed to identify when appropriate care is (or is not) being delivered.</w:t>
            </w:r>
          </w:p>
        </w:tc>
        <w:tc>
          <w:tcPr>
            <w:tcW w:w="6192" w:type="dxa"/>
          </w:tcPr>
          <w:p w14:paraId="42ABEA92" w14:textId="253514BE" w:rsidR="009B60E2" w:rsidRPr="0076313F" w:rsidRDefault="0076313F" w:rsidP="009B60E2">
            <w:pPr>
              <w:pStyle w:val="ListParagraph"/>
              <w:numPr>
                <w:ilvl w:val="0"/>
                <w:numId w:val="15"/>
              </w:numPr>
              <w:rPr>
                <w:b/>
                <w:color w:val="000000" w:themeColor="text1"/>
              </w:rPr>
            </w:pPr>
            <w:r w:rsidRPr="0076313F">
              <w:rPr>
                <w:b/>
                <w:color w:val="000000" w:themeColor="text1"/>
              </w:rPr>
              <w:t>Acute Otitis Externa (AOE): Systemic Antimicrobial Therapy - Avoidance of Inappropriate Use</w:t>
            </w:r>
            <w:r>
              <w:rPr>
                <w:color w:val="000000" w:themeColor="text1"/>
              </w:rPr>
              <w:t>: Used in the MIPS Program; NQF#0654</w:t>
            </w:r>
            <w:r w:rsidR="006A4538">
              <w:rPr>
                <w:color w:val="000000" w:themeColor="text1"/>
              </w:rPr>
              <w:t>.</w:t>
            </w:r>
          </w:p>
          <w:p w14:paraId="06C12615" w14:textId="36964563" w:rsidR="0076313F" w:rsidRPr="0076313F" w:rsidRDefault="0076313F" w:rsidP="009B60E2">
            <w:pPr>
              <w:pStyle w:val="ListParagraph"/>
              <w:numPr>
                <w:ilvl w:val="0"/>
                <w:numId w:val="15"/>
              </w:numPr>
              <w:rPr>
                <w:b/>
                <w:color w:val="000000" w:themeColor="text1"/>
              </w:rPr>
            </w:pPr>
            <w:r w:rsidRPr="0076313F">
              <w:rPr>
                <w:b/>
                <w:color w:val="000000" w:themeColor="text1"/>
              </w:rPr>
              <w:t>Prostate Cancer: Avoidance of Overuse of Bone Scan for Staging Low Risk Prostate Cancer Patients</w:t>
            </w:r>
            <w:r>
              <w:rPr>
                <w:color w:val="000000" w:themeColor="text1"/>
              </w:rPr>
              <w:t>: Used in the MIPS Program; NQF#0389</w:t>
            </w:r>
            <w:r w:rsidR="006A4538">
              <w:rPr>
                <w:color w:val="000000" w:themeColor="text1"/>
              </w:rPr>
              <w:t>.</w:t>
            </w:r>
          </w:p>
          <w:p w14:paraId="23F43C2E" w14:textId="67D166D7" w:rsidR="0076313F" w:rsidRPr="00F971F4" w:rsidRDefault="0076313F" w:rsidP="009B60E2">
            <w:pPr>
              <w:pStyle w:val="ListParagraph"/>
              <w:numPr>
                <w:ilvl w:val="0"/>
                <w:numId w:val="15"/>
              </w:numPr>
              <w:rPr>
                <w:b/>
                <w:color w:val="000000" w:themeColor="text1"/>
              </w:rPr>
            </w:pPr>
            <w:r w:rsidRPr="0076313F">
              <w:rPr>
                <w:b/>
                <w:color w:val="000000" w:themeColor="text1"/>
              </w:rPr>
              <w:t>Cardiac Imaging for Preoperative Risk Assessment for Non-Cardiac Low-Risk Surgery</w:t>
            </w:r>
            <w:r>
              <w:rPr>
                <w:color w:val="000000" w:themeColor="text1"/>
              </w:rPr>
              <w:t>: Used in Hospital Compare and HOQR; NQF#0669</w:t>
            </w:r>
            <w:r w:rsidR="006A4538">
              <w:rPr>
                <w:color w:val="000000" w:themeColor="text1"/>
              </w:rPr>
              <w:t>.</w:t>
            </w:r>
          </w:p>
        </w:tc>
      </w:tr>
      <w:tr w:rsidR="009B60E2" w14:paraId="1363E55A" w14:textId="77777777" w:rsidTr="001D32E8">
        <w:trPr>
          <w:cantSplit/>
        </w:trPr>
        <w:tc>
          <w:tcPr>
            <w:tcW w:w="13117" w:type="dxa"/>
            <w:gridSpan w:val="3"/>
            <w:shd w:val="clear" w:color="auto" w:fill="DEEAF6" w:themeFill="accent1" w:themeFillTint="33"/>
          </w:tcPr>
          <w:p w14:paraId="2AFEFE06" w14:textId="77777777" w:rsidR="009B60E2" w:rsidRPr="007F059A" w:rsidRDefault="009B60E2" w:rsidP="009B60E2">
            <w:pPr>
              <w:rPr>
                <w:b/>
                <w:color w:val="000000" w:themeColor="text1"/>
                <w:sz w:val="28"/>
              </w:rPr>
            </w:pPr>
            <w:r w:rsidRPr="007F059A">
              <w:rPr>
                <w:b/>
                <w:color w:val="000000" w:themeColor="text1"/>
                <w:sz w:val="28"/>
              </w:rPr>
              <w:t>Strengthen Person &amp; Family Engagement as Partners in their Care</w:t>
            </w:r>
          </w:p>
        </w:tc>
      </w:tr>
      <w:tr w:rsidR="009B60E2" w14:paraId="249D4EC5" w14:textId="77777777" w:rsidTr="001D32E8">
        <w:trPr>
          <w:cantSplit/>
        </w:trPr>
        <w:tc>
          <w:tcPr>
            <w:tcW w:w="2155" w:type="dxa"/>
          </w:tcPr>
          <w:p w14:paraId="7A6277DF" w14:textId="77777777" w:rsidR="009B60E2" w:rsidRPr="00DC1F8C" w:rsidRDefault="009B60E2" w:rsidP="009B60E2">
            <w:r>
              <w:t>End of Life Care According to Preferences</w:t>
            </w:r>
          </w:p>
        </w:tc>
        <w:tc>
          <w:tcPr>
            <w:tcW w:w="4770" w:type="dxa"/>
          </w:tcPr>
          <w:p w14:paraId="2E9D9F79" w14:textId="67633765" w:rsidR="009B60E2" w:rsidRPr="00DC1F8C" w:rsidRDefault="009B60E2" w:rsidP="001C6DAC">
            <w:r w:rsidRPr="00DC1F8C">
              <w:t>The National Institute on Aging defines end-of-life care as “the term used to describe the support and medical care given during the time surrounding death.”</w:t>
            </w:r>
            <w:r w:rsidR="00A4497D">
              <w:rPr>
                <w:rStyle w:val="FootnoteReference"/>
              </w:rPr>
              <w:footnoteReference w:id="1"/>
            </w:r>
            <w:r w:rsidRPr="00DC1F8C">
              <w:t xml:space="preserve">  Measures in this area are intended to promote that this care should be delivered with consideration of the needs, values, and goals of the </w:t>
            </w:r>
            <w:r w:rsidR="001C6DAC">
              <w:t>individual</w:t>
            </w:r>
            <w:r w:rsidRPr="00DC1F8C">
              <w:t>, caregiver, and their family.</w:t>
            </w:r>
          </w:p>
        </w:tc>
        <w:tc>
          <w:tcPr>
            <w:tcW w:w="6192" w:type="dxa"/>
          </w:tcPr>
          <w:p w14:paraId="6DCB4D36" w14:textId="6451101B" w:rsidR="007E6B2A" w:rsidRDefault="007E6B2A" w:rsidP="009B60E2">
            <w:pPr>
              <w:pStyle w:val="ListParagraph"/>
              <w:numPr>
                <w:ilvl w:val="0"/>
                <w:numId w:val="15"/>
              </w:numPr>
              <w:rPr>
                <w:b/>
                <w:color w:val="000000" w:themeColor="text1"/>
              </w:rPr>
            </w:pPr>
            <w:r>
              <w:rPr>
                <w:b/>
                <w:color w:val="000000" w:themeColor="text1"/>
              </w:rPr>
              <w:t>Hospice and Palliative Care Composite Process Measure – Comprehensive Assessment at Admission</w:t>
            </w:r>
            <w:r>
              <w:rPr>
                <w:color w:val="000000" w:themeColor="text1"/>
              </w:rPr>
              <w:t>: Used in H</w:t>
            </w:r>
            <w:r w:rsidR="005425FB">
              <w:rPr>
                <w:color w:val="000000" w:themeColor="text1"/>
              </w:rPr>
              <w:t>QR</w:t>
            </w:r>
            <w:r>
              <w:rPr>
                <w:color w:val="000000" w:themeColor="text1"/>
              </w:rPr>
              <w:t>; NQF#3235</w:t>
            </w:r>
            <w:r w:rsidR="005425FB">
              <w:rPr>
                <w:color w:val="000000" w:themeColor="text1"/>
              </w:rPr>
              <w:t>.</w:t>
            </w:r>
          </w:p>
          <w:p w14:paraId="6FFBA95D" w14:textId="14E3C3AA" w:rsidR="00F8368C" w:rsidRPr="00F971F4" w:rsidRDefault="007E6B2A" w:rsidP="00982B1E">
            <w:pPr>
              <w:pStyle w:val="ListParagraph"/>
              <w:numPr>
                <w:ilvl w:val="0"/>
                <w:numId w:val="15"/>
              </w:numPr>
              <w:rPr>
                <w:b/>
                <w:color w:val="000000" w:themeColor="text1"/>
              </w:rPr>
            </w:pPr>
            <w:r w:rsidRPr="007E6B2A">
              <w:rPr>
                <w:b/>
                <w:color w:val="000000" w:themeColor="text1"/>
              </w:rPr>
              <w:t>Beliefs and Values - Percentage of hospice patients with documentation in the clinical record of a discussion of spiritual/religious concerns or documentation that the patient/caregiver did not want to discuss</w:t>
            </w:r>
            <w:r>
              <w:rPr>
                <w:color w:val="000000" w:themeColor="text1"/>
              </w:rPr>
              <w:t>: Used in H</w:t>
            </w:r>
            <w:r w:rsidR="005425FB">
              <w:rPr>
                <w:color w:val="000000" w:themeColor="text1"/>
              </w:rPr>
              <w:t>QR</w:t>
            </w:r>
            <w:r>
              <w:rPr>
                <w:color w:val="000000" w:themeColor="text1"/>
              </w:rPr>
              <w:t>; NQF#1647</w:t>
            </w:r>
            <w:r w:rsidR="005425FB">
              <w:rPr>
                <w:color w:val="000000" w:themeColor="text1"/>
              </w:rPr>
              <w:t>.</w:t>
            </w:r>
          </w:p>
        </w:tc>
      </w:tr>
      <w:tr w:rsidR="009B60E2" w14:paraId="01F2A8A0" w14:textId="77777777" w:rsidTr="001D32E8">
        <w:trPr>
          <w:cantSplit/>
        </w:trPr>
        <w:tc>
          <w:tcPr>
            <w:tcW w:w="2155" w:type="dxa"/>
          </w:tcPr>
          <w:p w14:paraId="41E3AA51" w14:textId="77777777" w:rsidR="009B60E2" w:rsidRPr="00DC1F8C" w:rsidRDefault="009B60E2" w:rsidP="009B60E2">
            <w:r w:rsidRPr="00DC1F8C">
              <w:lastRenderedPageBreak/>
              <w:t>Care is Personalized and Aligned with Patient’s Goals</w:t>
            </w:r>
          </w:p>
        </w:tc>
        <w:tc>
          <w:tcPr>
            <w:tcW w:w="4770" w:type="dxa"/>
          </w:tcPr>
          <w:p w14:paraId="5609BB98" w14:textId="25D04886" w:rsidR="009B60E2" w:rsidRPr="00DC1F8C" w:rsidRDefault="009B60E2" w:rsidP="001C6DAC">
            <w:r w:rsidRPr="00DC1F8C">
              <w:t xml:space="preserve">Emphasizing person-centered care, measures in this area assess whether healthcare services and supports allow patients to achieve their desired outcomes. Examples include ensuring that </w:t>
            </w:r>
            <w:r w:rsidR="001C6DAC">
              <w:t>individuals’</w:t>
            </w:r>
            <w:r w:rsidR="001C6DAC" w:rsidRPr="00DC1F8C">
              <w:t xml:space="preserve"> </w:t>
            </w:r>
            <w:r w:rsidRPr="00DC1F8C">
              <w:t xml:space="preserve">preferences are integrated into care delivery, incorporating patient-generated data in health records, and effectively involving </w:t>
            </w:r>
            <w:r w:rsidR="001C6DAC">
              <w:t>individuals</w:t>
            </w:r>
            <w:r w:rsidR="001C6DAC" w:rsidRPr="00DC1F8C">
              <w:t xml:space="preserve"> </w:t>
            </w:r>
            <w:r w:rsidRPr="00DC1F8C">
              <w:t>and families in man</w:t>
            </w:r>
            <w:r w:rsidR="001428E1">
              <w:t xml:space="preserve">aging their care effectively. </w:t>
            </w:r>
            <w:r w:rsidRPr="00DC1F8C">
              <w:t>[Note: Measures of personalized care near the end of life are not included here since they are covered in a separate measure area.]</w:t>
            </w:r>
          </w:p>
        </w:tc>
        <w:tc>
          <w:tcPr>
            <w:tcW w:w="6192" w:type="dxa"/>
          </w:tcPr>
          <w:p w14:paraId="6B2FB5B4" w14:textId="3B8EC2BA" w:rsidR="00DB539A" w:rsidRPr="0005396E" w:rsidRDefault="00DB539A" w:rsidP="009B60E2">
            <w:pPr>
              <w:pStyle w:val="ListParagraph"/>
              <w:numPr>
                <w:ilvl w:val="0"/>
                <w:numId w:val="15"/>
              </w:numPr>
              <w:rPr>
                <w:b/>
                <w:color w:val="000000" w:themeColor="text1"/>
              </w:rPr>
            </w:pPr>
            <w:r>
              <w:rPr>
                <w:b/>
                <w:color w:val="000000" w:themeColor="text1"/>
              </w:rPr>
              <w:t>Hepatitis C: Discussion and Shared Decision Making Surrounding Treatment Options</w:t>
            </w:r>
            <w:r>
              <w:rPr>
                <w:color w:val="000000" w:themeColor="text1"/>
              </w:rPr>
              <w:t>: Used in the MIPS Program</w:t>
            </w:r>
            <w:r w:rsidR="005425FB">
              <w:rPr>
                <w:color w:val="000000" w:themeColor="text1"/>
              </w:rPr>
              <w:t>.</w:t>
            </w:r>
          </w:p>
          <w:p w14:paraId="2E985267" w14:textId="6ED12356" w:rsidR="0005396E" w:rsidRDefault="00486E36" w:rsidP="009B60E2">
            <w:pPr>
              <w:pStyle w:val="ListParagraph"/>
              <w:numPr>
                <w:ilvl w:val="0"/>
                <w:numId w:val="15"/>
              </w:numPr>
              <w:rPr>
                <w:b/>
                <w:color w:val="000000" w:themeColor="text1"/>
              </w:rPr>
            </w:pPr>
            <w:r w:rsidRPr="00486E36">
              <w:rPr>
                <w:b/>
                <w:color w:val="000000" w:themeColor="text1"/>
              </w:rPr>
              <w:t>Patient-Centered Surgical Risk Assessment and Communication</w:t>
            </w:r>
            <w:r>
              <w:rPr>
                <w:color w:val="000000" w:themeColor="text1"/>
              </w:rPr>
              <w:t>: Used in the MIPS Program</w:t>
            </w:r>
            <w:r w:rsidR="005425FB">
              <w:rPr>
                <w:color w:val="000000" w:themeColor="text1"/>
              </w:rPr>
              <w:t>.</w:t>
            </w:r>
          </w:p>
          <w:p w14:paraId="4E6E8BB6" w14:textId="68458098" w:rsidR="009B60E2" w:rsidRPr="00F971F4" w:rsidRDefault="00DB539A" w:rsidP="009B60E2">
            <w:pPr>
              <w:pStyle w:val="ListParagraph"/>
              <w:numPr>
                <w:ilvl w:val="0"/>
                <w:numId w:val="15"/>
              </w:numPr>
              <w:rPr>
                <w:b/>
                <w:color w:val="000000" w:themeColor="text1"/>
              </w:rPr>
            </w:pPr>
            <w:r w:rsidRPr="00DB539A">
              <w:rPr>
                <w:b/>
                <w:color w:val="000000" w:themeColor="text1"/>
              </w:rPr>
              <w:t>Percent of Long-Term Care Hospital Patients with an Admission and Discharge Functional Assessment and a Care Plan That Addresses Function</w:t>
            </w:r>
            <w:r>
              <w:rPr>
                <w:color w:val="000000" w:themeColor="text1"/>
              </w:rPr>
              <w:t xml:space="preserve">: </w:t>
            </w:r>
            <w:r w:rsidR="005425FB">
              <w:rPr>
                <w:color w:val="000000" w:themeColor="text1"/>
              </w:rPr>
              <w:t>Used in the LTCH, IRF, SNF, and HH QRPs;</w:t>
            </w:r>
            <w:r w:rsidRPr="00283E28">
              <w:rPr>
                <w:color w:val="000000" w:themeColor="text1"/>
              </w:rPr>
              <w:t xml:space="preserve"> NQF #2631</w:t>
            </w:r>
            <w:r w:rsidR="005425FB">
              <w:rPr>
                <w:color w:val="000000" w:themeColor="text1"/>
              </w:rPr>
              <w:t>.</w:t>
            </w:r>
          </w:p>
        </w:tc>
      </w:tr>
      <w:tr w:rsidR="009B60E2" w14:paraId="00FBA69E" w14:textId="77777777" w:rsidTr="001D32E8">
        <w:trPr>
          <w:cantSplit/>
        </w:trPr>
        <w:tc>
          <w:tcPr>
            <w:tcW w:w="2155" w:type="dxa"/>
          </w:tcPr>
          <w:p w14:paraId="553BBDFE" w14:textId="77777777" w:rsidR="009B60E2" w:rsidRPr="007B082A" w:rsidRDefault="009B60E2" w:rsidP="009B60E2">
            <w:r w:rsidRPr="00DC1F8C">
              <w:t>Functional Outcomes</w:t>
            </w:r>
          </w:p>
        </w:tc>
        <w:tc>
          <w:tcPr>
            <w:tcW w:w="4770" w:type="dxa"/>
          </w:tcPr>
          <w:p w14:paraId="6FF49822" w14:textId="4D6325DA" w:rsidR="009B60E2" w:rsidRPr="007B082A" w:rsidRDefault="009B60E2" w:rsidP="00506359">
            <w:r w:rsidRPr="00DC1F8C">
              <w:t xml:space="preserve">It is critical to understand how health conditions affect an individual’s ability to </w:t>
            </w:r>
            <w:r w:rsidR="00506359">
              <w:t xml:space="preserve">independently </w:t>
            </w:r>
            <w:r w:rsidRPr="00DC1F8C">
              <w:t>carry out basic activities</w:t>
            </w:r>
            <w:r w:rsidR="00506359">
              <w:t>, including activities of daily living and instrumental activities of daily living,</w:t>
            </w:r>
            <w:r w:rsidRPr="00DC1F8C">
              <w:t xml:space="preserve"> and participate in daily life, which correspond to a patient’s functional status.  Measures in this area assess functional outcomes.  </w:t>
            </w:r>
          </w:p>
        </w:tc>
        <w:tc>
          <w:tcPr>
            <w:tcW w:w="6192" w:type="dxa"/>
          </w:tcPr>
          <w:p w14:paraId="6465309F" w14:textId="164DF3FB" w:rsidR="009B60E2" w:rsidRPr="001A24CA" w:rsidRDefault="009B60E2" w:rsidP="009B60E2">
            <w:pPr>
              <w:pStyle w:val="ListParagraph"/>
              <w:numPr>
                <w:ilvl w:val="0"/>
                <w:numId w:val="15"/>
              </w:numPr>
              <w:rPr>
                <w:b/>
                <w:color w:val="000000" w:themeColor="text1"/>
              </w:rPr>
            </w:pPr>
            <w:r w:rsidRPr="001A24CA">
              <w:rPr>
                <w:b/>
                <w:color w:val="000000" w:themeColor="text1"/>
              </w:rPr>
              <w:t>Average Change in Functional Status Following Total Knee Replacement Surgery</w:t>
            </w:r>
            <w:r>
              <w:rPr>
                <w:color w:val="000000" w:themeColor="text1"/>
              </w:rPr>
              <w:t>: Used in the MIPS Program; NQF#2653</w:t>
            </w:r>
            <w:r w:rsidR="005425FB">
              <w:rPr>
                <w:color w:val="000000" w:themeColor="text1"/>
              </w:rPr>
              <w:t>.</w:t>
            </w:r>
          </w:p>
          <w:p w14:paraId="78B14DC3" w14:textId="6A280C6E" w:rsidR="009B60E2" w:rsidRPr="00F8368C" w:rsidRDefault="009B60E2" w:rsidP="009B60E2">
            <w:pPr>
              <w:pStyle w:val="ListParagraph"/>
              <w:numPr>
                <w:ilvl w:val="0"/>
                <w:numId w:val="15"/>
              </w:numPr>
              <w:rPr>
                <w:b/>
                <w:color w:val="000000" w:themeColor="text1"/>
              </w:rPr>
            </w:pPr>
            <w:r>
              <w:rPr>
                <w:b/>
                <w:color w:val="000000" w:themeColor="text1"/>
              </w:rPr>
              <w:t>Improvement in Pain Interfering with Activity</w:t>
            </w:r>
            <w:r>
              <w:rPr>
                <w:color w:val="000000" w:themeColor="text1"/>
              </w:rPr>
              <w:t>: Used in HH Q</w:t>
            </w:r>
            <w:r w:rsidR="005425FB">
              <w:rPr>
                <w:color w:val="000000" w:themeColor="text1"/>
              </w:rPr>
              <w:t>RP</w:t>
            </w:r>
            <w:r>
              <w:rPr>
                <w:color w:val="000000" w:themeColor="text1"/>
              </w:rPr>
              <w:t xml:space="preserve"> and H</w:t>
            </w:r>
            <w:r w:rsidR="005425FB">
              <w:rPr>
                <w:color w:val="000000" w:themeColor="text1"/>
              </w:rPr>
              <w:t>H</w:t>
            </w:r>
            <w:r>
              <w:rPr>
                <w:color w:val="000000" w:themeColor="text1"/>
              </w:rPr>
              <w:t>VBP; NQF#0177</w:t>
            </w:r>
            <w:r w:rsidR="005425FB">
              <w:rPr>
                <w:color w:val="000000" w:themeColor="text1"/>
              </w:rPr>
              <w:t>.</w:t>
            </w:r>
          </w:p>
          <w:p w14:paraId="3EF304B7" w14:textId="03519717" w:rsidR="00F8368C" w:rsidRPr="00E37845" w:rsidRDefault="00F8368C" w:rsidP="009B60E2">
            <w:pPr>
              <w:pStyle w:val="ListParagraph"/>
              <w:numPr>
                <w:ilvl w:val="0"/>
                <w:numId w:val="15"/>
              </w:numPr>
              <w:rPr>
                <w:b/>
                <w:color w:val="000000" w:themeColor="text1"/>
              </w:rPr>
            </w:pPr>
            <w:r w:rsidRPr="00F8368C">
              <w:rPr>
                <w:b/>
                <w:color w:val="000000" w:themeColor="text1"/>
              </w:rPr>
              <w:t>IRF Functional Outcome Measure:</w:t>
            </w:r>
            <w:r w:rsidR="00E37845">
              <w:rPr>
                <w:b/>
                <w:color w:val="000000" w:themeColor="text1"/>
              </w:rPr>
              <w:t xml:space="preserve"> </w:t>
            </w:r>
            <w:r w:rsidRPr="00F8368C">
              <w:rPr>
                <w:b/>
                <w:color w:val="000000" w:themeColor="text1"/>
              </w:rPr>
              <w:t>Discharge Mobility Score for Medical Rehabilitation Patients</w:t>
            </w:r>
            <w:r>
              <w:rPr>
                <w:color w:val="000000" w:themeColor="text1"/>
              </w:rPr>
              <w:t>: Used in IRF Quality Reporting</w:t>
            </w:r>
            <w:r w:rsidR="00401C9A">
              <w:rPr>
                <w:color w:val="000000" w:themeColor="text1"/>
              </w:rPr>
              <w:t xml:space="preserve"> and the SNF Quality Reporting Program</w:t>
            </w:r>
            <w:r>
              <w:rPr>
                <w:color w:val="000000" w:themeColor="text1"/>
              </w:rPr>
              <w:t>; NQF #2636</w:t>
            </w:r>
            <w:r w:rsidR="005425FB">
              <w:rPr>
                <w:color w:val="000000" w:themeColor="text1"/>
              </w:rPr>
              <w:t>.</w:t>
            </w:r>
          </w:p>
          <w:p w14:paraId="157D3F8C" w14:textId="6C1DECD3" w:rsidR="00E37845" w:rsidRPr="00F971F4" w:rsidRDefault="00E37845" w:rsidP="009B60E2">
            <w:pPr>
              <w:pStyle w:val="ListParagraph"/>
              <w:numPr>
                <w:ilvl w:val="0"/>
                <w:numId w:val="15"/>
              </w:numPr>
              <w:rPr>
                <w:b/>
                <w:color w:val="000000" w:themeColor="text1"/>
              </w:rPr>
            </w:pPr>
            <w:r>
              <w:rPr>
                <w:b/>
                <w:color w:val="000000" w:themeColor="text1"/>
              </w:rPr>
              <w:t>Improvement in Bathing</w:t>
            </w:r>
            <w:r>
              <w:rPr>
                <w:color w:val="000000" w:themeColor="text1"/>
              </w:rPr>
              <w:t>; Used in H</w:t>
            </w:r>
            <w:r w:rsidR="005425FB">
              <w:rPr>
                <w:color w:val="000000" w:themeColor="text1"/>
              </w:rPr>
              <w:t>H</w:t>
            </w:r>
            <w:r w:rsidR="00963803">
              <w:rPr>
                <w:color w:val="000000" w:themeColor="text1"/>
              </w:rPr>
              <w:t>VBP</w:t>
            </w:r>
            <w:r>
              <w:rPr>
                <w:color w:val="000000" w:themeColor="text1"/>
              </w:rPr>
              <w:t>; NQF#0174</w:t>
            </w:r>
            <w:r w:rsidR="005425FB">
              <w:rPr>
                <w:color w:val="000000" w:themeColor="text1"/>
              </w:rPr>
              <w:t>.</w:t>
            </w:r>
          </w:p>
        </w:tc>
      </w:tr>
      <w:tr w:rsidR="009B60E2" w14:paraId="671648EA" w14:textId="77777777" w:rsidTr="001D32E8">
        <w:trPr>
          <w:cantSplit/>
        </w:trPr>
        <w:tc>
          <w:tcPr>
            <w:tcW w:w="2155" w:type="dxa"/>
          </w:tcPr>
          <w:p w14:paraId="5133BD2F" w14:textId="77777777" w:rsidR="009B60E2" w:rsidRPr="007B082A" w:rsidRDefault="009B60E2" w:rsidP="009B60E2">
            <w:r>
              <w:lastRenderedPageBreak/>
              <w:t>Patient’s Experience of Care</w:t>
            </w:r>
          </w:p>
        </w:tc>
        <w:tc>
          <w:tcPr>
            <w:tcW w:w="4770" w:type="dxa"/>
          </w:tcPr>
          <w:p w14:paraId="48EDA059" w14:textId="247B1B4F" w:rsidR="009B60E2" w:rsidRPr="007B082A" w:rsidRDefault="00506359" w:rsidP="00506359">
            <w:r>
              <w:t>People</w:t>
            </w:r>
            <w:r w:rsidRPr="00DC1F8C">
              <w:t xml:space="preserve"> </w:t>
            </w:r>
            <w:r w:rsidR="009B60E2" w:rsidRPr="00DC1F8C">
              <w:t>have a number of interactions with the healthcare system during the course of their care, such as experience with trying to get timely medical appointments, access to useful information, and effective communication with their healthcare providers.  This measurement area is focused on evaluating these types of experience</w:t>
            </w:r>
            <w:r>
              <w:t xml:space="preserve"> of care</w:t>
            </w:r>
            <w:r w:rsidR="009B60E2" w:rsidRPr="00DC1F8C">
              <w:t>. [Note: Measures pertaining to equity of care are not included here since they are covered in a separate measure area.]</w:t>
            </w:r>
          </w:p>
        </w:tc>
        <w:tc>
          <w:tcPr>
            <w:tcW w:w="6192" w:type="dxa"/>
          </w:tcPr>
          <w:p w14:paraId="5C4E4004" w14:textId="15618C6E" w:rsidR="0052268C" w:rsidRPr="0052268C" w:rsidRDefault="0052268C" w:rsidP="0052268C">
            <w:pPr>
              <w:pStyle w:val="ListParagraph"/>
              <w:numPr>
                <w:ilvl w:val="0"/>
                <w:numId w:val="15"/>
              </w:numPr>
              <w:rPr>
                <w:b/>
                <w:color w:val="000000" w:themeColor="text1"/>
              </w:rPr>
            </w:pPr>
            <w:r>
              <w:rPr>
                <w:b/>
                <w:color w:val="000000" w:themeColor="text1"/>
              </w:rPr>
              <w:t>Hospital Consumer Assessment of Healthcare Providers and Systems (HCAHPS)</w:t>
            </w:r>
            <w:r>
              <w:rPr>
                <w:color w:val="000000" w:themeColor="text1"/>
              </w:rPr>
              <w:t xml:space="preserve">: Used in Hospital Compare, </w:t>
            </w:r>
            <w:r w:rsidR="005425FB">
              <w:rPr>
                <w:color w:val="000000" w:themeColor="text1"/>
              </w:rPr>
              <w:t>H</w:t>
            </w:r>
            <w:r>
              <w:rPr>
                <w:color w:val="000000" w:themeColor="text1"/>
              </w:rPr>
              <w:t xml:space="preserve">IQR, </w:t>
            </w:r>
            <w:r w:rsidR="005425FB">
              <w:rPr>
                <w:color w:val="000000" w:themeColor="text1"/>
              </w:rPr>
              <w:t>H</w:t>
            </w:r>
            <w:r>
              <w:rPr>
                <w:color w:val="000000" w:themeColor="text1"/>
              </w:rPr>
              <w:t>VBP, and P</w:t>
            </w:r>
            <w:r w:rsidR="005425FB">
              <w:rPr>
                <w:color w:val="000000" w:themeColor="text1"/>
              </w:rPr>
              <w:t>CHQR</w:t>
            </w:r>
            <w:r>
              <w:rPr>
                <w:color w:val="000000" w:themeColor="text1"/>
              </w:rPr>
              <w:t>; NQF#0166.</w:t>
            </w:r>
          </w:p>
          <w:p w14:paraId="7B379DED" w14:textId="0B70DBB1" w:rsidR="009B60E2" w:rsidRPr="00F80366" w:rsidRDefault="009B60E2" w:rsidP="009B60E2">
            <w:pPr>
              <w:pStyle w:val="ListParagraph"/>
              <w:numPr>
                <w:ilvl w:val="0"/>
                <w:numId w:val="15"/>
              </w:numPr>
              <w:rPr>
                <w:b/>
                <w:color w:val="000000" w:themeColor="text1"/>
              </w:rPr>
            </w:pPr>
            <w:r w:rsidRPr="00F80366">
              <w:rPr>
                <w:b/>
                <w:color w:val="000000" w:themeColor="text1"/>
              </w:rPr>
              <w:t>Getting Timely Car</w:t>
            </w:r>
            <w:r w:rsidRPr="00982B1E">
              <w:rPr>
                <w:b/>
                <w:color w:val="000000" w:themeColor="text1"/>
              </w:rPr>
              <w:t>e, Appointments and Information</w:t>
            </w:r>
            <w:r w:rsidR="0052268C" w:rsidRPr="00982B1E">
              <w:rPr>
                <w:b/>
                <w:color w:val="000000" w:themeColor="text1"/>
              </w:rPr>
              <w:t xml:space="preserve"> </w:t>
            </w:r>
            <w:r w:rsidR="0052268C" w:rsidRPr="000768C3">
              <w:rPr>
                <w:b/>
                <w:color w:val="000000" w:themeColor="text1"/>
              </w:rPr>
              <w:t>(component of CG-CAHPS)</w:t>
            </w:r>
            <w:r w:rsidRPr="000768C3">
              <w:rPr>
                <w:b/>
                <w:color w:val="000000" w:themeColor="text1"/>
              </w:rPr>
              <w:t>:</w:t>
            </w:r>
            <w:r>
              <w:rPr>
                <w:color w:val="000000" w:themeColor="text1"/>
              </w:rPr>
              <w:t xml:space="preserve"> Used in the </w:t>
            </w:r>
            <w:r w:rsidR="00CB1971">
              <w:rPr>
                <w:color w:val="000000" w:themeColor="text1"/>
              </w:rPr>
              <w:t>Shared Savings Program</w:t>
            </w:r>
            <w:r>
              <w:rPr>
                <w:color w:val="000000" w:themeColor="text1"/>
              </w:rPr>
              <w:t>; NQF#0005</w:t>
            </w:r>
            <w:r w:rsidR="005425FB">
              <w:rPr>
                <w:color w:val="000000" w:themeColor="text1"/>
              </w:rPr>
              <w:t>.</w:t>
            </w:r>
          </w:p>
          <w:p w14:paraId="00593E20" w14:textId="460D907E" w:rsidR="0052268C" w:rsidRDefault="0052268C" w:rsidP="009B60E2">
            <w:pPr>
              <w:pStyle w:val="ListParagraph"/>
              <w:numPr>
                <w:ilvl w:val="0"/>
                <w:numId w:val="15"/>
              </w:numPr>
              <w:rPr>
                <w:b/>
                <w:color w:val="000000" w:themeColor="text1"/>
              </w:rPr>
            </w:pPr>
            <w:r>
              <w:rPr>
                <w:b/>
                <w:color w:val="000000" w:themeColor="text1"/>
              </w:rPr>
              <w:t>Overall Rating of Home Health Care</w:t>
            </w:r>
            <w:r w:rsidRPr="00982B1E">
              <w:rPr>
                <w:b/>
                <w:color w:val="000000" w:themeColor="text1"/>
              </w:rPr>
              <w:t xml:space="preserve"> </w:t>
            </w:r>
            <w:r w:rsidRPr="000768C3">
              <w:rPr>
                <w:b/>
                <w:color w:val="000000" w:themeColor="text1"/>
              </w:rPr>
              <w:t>(component of CAHPS Home Health Care Survey):</w:t>
            </w:r>
            <w:r>
              <w:rPr>
                <w:color w:val="000000" w:themeColor="text1"/>
              </w:rPr>
              <w:t xml:space="preserve"> Used in </w:t>
            </w:r>
            <w:r w:rsidR="005425FB">
              <w:rPr>
                <w:color w:val="000000" w:themeColor="text1"/>
              </w:rPr>
              <w:t>HH QRP</w:t>
            </w:r>
            <w:r>
              <w:rPr>
                <w:color w:val="000000" w:themeColor="text1"/>
              </w:rPr>
              <w:t xml:space="preserve"> and H</w:t>
            </w:r>
            <w:r w:rsidR="005425FB">
              <w:rPr>
                <w:color w:val="000000" w:themeColor="text1"/>
              </w:rPr>
              <w:t>H</w:t>
            </w:r>
            <w:r>
              <w:rPr>
                <w:color w:val="000000" w:themeColor="text1"/>
              </w:rPr>
              <w:t>VBP; NQF#0517</w:t>
            </w:r>
            <w:r w:rsidR="005425FB">
              <w:rPr>
                <w:b/>
                <w:color w:val="000000" w:themeColor="text1"/>
              </w:rPr>
              <w:t>.</w:t>
            </w:r>
          </w:p>
          <w:p w14:paraId="2318FD0D" w14:textId="55E19DB4" w:rsidR="00307580" w:rsidRPr="000768C3" w:rsidRDefault="00307580" w:rsidP="009B60E2">
            <w:pPr>
              <w:pStyle w:val="ListParagraph"/>
              <w:numPr>
                <w:ilvl w:val="0"/>
                <w:numId w:val="15"/>
              </w:numPr>
              <w:rPr>
                <w:b/>
                <w:color w:val="000000" w:themeColor="text1"/>
              </w:rPr>
            </w:pPr>
            <w:r>
              <w:rPr>
                <w:b/>
                <w:color w:val="000000" w:themeColor="text1"/>
              </w:rPr>
              <w:t xml:space="preserve">Consumer Assessment of Healthcare Providers and Systems (CAHPS) </w:t>
            </w:r>
            <w:r w:rsidR="00401C9A">
              <w:rPr>
                <w:b/>
                <w:color w:val="000000" w:themeColor="text1"/>
              </w:rPr>
              <w:t>Home and Community-Based Services Survey</w:t>
            </w:r>
            <w:r>
              <w:rPr>
                <w:color w:val="000000" w:themeColor="text1"/>
              </w:rPr>
              <w:t xml:space="preserve">: Used in Medicaid; </w:t>
            </w:r>
            <w:r w:rsidR="00401C9A">
              <w:rPr>
                <w:color w:val="000000" w:themeColor="text1"/>
              </w:rPr>
              <w:t>NQF#2967</w:t>
            </w:r>
            <w:r w:rsidR="005425FB">
              <w:rPr>
                <w:color w:val="000000" w:themeColor="text1"/>
              </w:rPr>
              <w:t>.</w:t>
            </w:r>
          </w:p>
          <w:p w14:paraId="5F2D4754" w14:textId="4B6BE12D" w:rsidR="00307580" w:rsidRPr="00F971F4" w:rsidRDefault="00307580" w:rsidP="009B60E2">
            <w:pPr>
              <w:pStyle w:val="ListParagraph"/>
              <w:numPr>
                <w:ilvl w:val="0"/>
                <w:numId w:val="15"/>
              </w:numPr>
              <w:rPr>
                <w:b/>
                <w:color w:val="000000" w:themeColor="text1"/>
              </w:rPr>
            </w:pPr>
            <w:r>
              <w:rPr>
                <w:b/>
                <w:color w:val="000000" w:themeColor="text1"/>
              </w:rPr>
              <w:t>Consumer Assessment of Healthcare Providers and Systems (CAHPS) Health Plan Survey 5.0H Adult Version Medicaid</w:t>
            </w:r>
            <w:r w:rsidR="005425FB">
              <w:rPr>
                <w:b/>
                <w:color w:val="000000" w:themeColor="text1"/>
              </w:rPr>
              <w:t>:</w:t>
            </w:r>
            <w:r>
              <w:rPr>
                <w:color w:val="000000" w:themeColor="text1"/>
              </w:rPr>
              <w:t xml:space="preserve"> Use</w:t>
            </w:r>
            <w:r w:rsidR="005425FB">
              <w:rPr>
                <w:color w:val="000000" w:themeColor="text1"/>
              </w:rPr>
              <w:t>d</w:t>
            </w:r>
            <w:r>
              <w:rPr>
                <w:color w:val="000000" w:themeColor="text1"/>
              </w:rPr>
              <w:t xml:space="preserve"> in the </w:t>
            </w:r>
            <w:r w:rsidR="005425FB">
              <w:rPr>
                <w:color w:val="000000" w:themeColor="text1"/>
              </w:rPr>
              <w:t xml:space="preserve">Medicaid </w:t>
            </w:r>
            <w:r>
              <w:rPr>
                <w:color w:val="000000" w:themeColor="text1"/>
              </w:rPr>
              <w:t>Adult Core Set</w:t>
            </w:r>
            <w:r w:rsidR="005425FB">
              <w:rPr>
                <w:color w:val="000000" w:themeColor="text1"/>
              </w:rPr>
              <w:t>.</w:t>
            </w:r>
          </w:p>
        </w:tc>
      </w:tr>
    </w:tbl>
    <w:p w14:paraId="65C7EA28" w14:textId="77777777" w:rsidR="00384AEB" w:rsidRDefault="00384AEB" w:rsidP="00384AEB"/>
    <w:p w14:paraId="07CAD780" w14:textId="08B3321D" w:rsidR="00CB1971" w:rsidRPr="00CB1971" w:rsidRDefault="00CB1971" w:rsidP="00CB1971">
      <w:r>
        <w:rPr>
          <w:b/>
          <w:bCs/>
        </w:rPr>
        <w:t>List of Acronyms</w:t>
      </w:r>
    </w:p>
    <w:p w14:paraId="0BB9FD34" w14:textId="5A06325B" w:rsidR="00CB1971" w:rsidRPr="00CB1971" w:rsidRDefault="00CB1971" w:rsidP="000768C3">
      <w:pPr>
        <w:pStyle w:val="ListParagraph"/>
        <w:numPr>
          <w:ilvl w:val="0"/>
          <w:numId w:val="16"/>
        </w:numPr>
      </w:pPr>
      <w:r w:rsidRPr="00CB1971">
        <w:t xml:space="preserve">Ambulatory Surgical Center Quality Reporting Program (ASCQR) </w:t>
      </w:r>
    </w:p>
    <w:p w14:paraId="7933741A" w14:textId="7D85CD2C" w:rsidR="00CB1971" w:rsidRPr="00CB1971" w:rsidRDefault="00CB1971" w:rsidP="000768C3">
      <w:pPr>
        <w:pStyle w:val="ListParagraph"/>
        <w:numPr>
          <w:ilvl w:val="0"/>
          <w:numId w:val="16"/>
        </w:numPr>
      </w:pPr>
      <w:r w:rsidRPr="00CB1971">
        <w:t xml:space="preserve">End-Stage Renal Disease Quality Incentive Program (ESRD QIP) </w:t>
      </w:r>
    </w:p>
    <w:p w14:paraId="45F9FCD6" w14:textId="173D8E03" w:rsidR="00CB1971" w:rsidRDefault="00CB1971" w:rsidP="000768C3">
      <w:pPr>
        <w:pStyle w:val="ListParagraph"/>
        <w:numPr>
          <w:ilvl w:val="0"/>
          <w:numId w:val="16"/>
        </w:numPr>
      </w:pPr>
      <w:r w:rsidRPr="00CB1971">
        <w:t xml:space="preserve">Home Health Quality Reporting Program (HH QRP) </w:t>
      </w:r>
    </w:p>
    <w:p w14:paraId="2F7DCBA1" w14:textId="5A8A4245" w:rsidR="00CB1971" w:rsidRPr="00CB1971" w:rsidRDefault="00CB1971" w:rsidP="000768C3">
      <w:pPr>
        <w:pStyle w:val="ListParagraph"/>
        <w:numPr>
          <w:ilvl w:val="0"/>
          <w:numId w:val="16"/>
        </w:numPr>
      </w:pPr>
      <w:r>
        <w:t>Home Health Value Based Purchasing Program (HH VBP)</w:t>
      </w:r>
    </w:p>
    <w:p w14:paraId="22656D18" w14:textId="16F01D21" w:rsidR="00CB1971" w:rsidRPr="00CB1971" w:rsidRDefault="00CB1971" w:rsidP="000768C3">
      <w:pPr>
        <w:pStyle w:val="ListParagraph"/>
        <w:numPr>
          <w:ilvl w:val="0"/>
          <w:numId w:val="16"/>
        </w:numPr>
      </w:pPr>
      <w:r w:rsidRPr="00CB1971">
        <w:t xml:space="preserve">Hospice Quality Reporting Program (HQRP) </w:t>
      </w:r>
    </w:p>
    <w:p w14:paraId="2816F2E8" w14:textId="7F95A42F" w:rsidR="00CB1971" w:rsidRPr="00CB1971" w:rsidRDefault="00CB1971" w:rsidP="000768C3">
      <w:pPr>
        <w:pStyle w:val="ListParagraph"/>
        <w:numPr>
          <w:ilvl w:val="0"/>
          <w:numId w:val="16"/>
        </w:numPr>
      </w:pPr>
      <w:r w:rsidRPr="00CB1971">
        <w:t xml:space="preserve">Hospital-Acquired Condition Reduction Program (HACRP) </w:t>
      </w:r>
    </w:p>
    <w:p w14:paraId="1371892C" w14:textId="28D58810" w:rsidR="00CB1971" w:rsidRPr="00CB1971" w:rsidRDefault="00CB1971" w:rsidP="000768C3">
      <w:pPr>
        <w:pStyle w:val="ListParagraph"/>
        <w:numPr>
          <w:ilvl w:val="0"/>
          <w:numId w:val="16"/>
        </w:numPr>
      </w:pPr>
      <w:r w:rsidRPr="00CB1971">
        <w:t xml:space="preserve">Hospital Inpatient Quality Reporting Program (IQR) </w:t>
      </w:r>
    </w:p>
    <w:p w14:paraId="05A81D20" w14:textId="26DF1274" w:rsidR="00CB1971" w:rsidRPr="00CB1971" w:rsidRDefault="00CB1971" w:rsidP="000768C3">
      <w:pPr>
        <w:pStyle w:val="ListParagraph"/>
        <w:numPr>
          <w:ilvl w:val="0"/>
          <w:numId w:val="16"/>
        </w:numPr>
      </w:pPr>
      <w:r w:rsidRPr="00CB1971">
        <w:t xml:space="preserve">Hospital Outpatient Quality Reporting Program (HOQR) </w:t>
      </w:r>
    </w:p>
    <w:p w14:paraId="1D721AAF" w14:textId="4512C520" w:rsidR="00CB1971" w:rsidRPr="00CB1971" w:rsidRDefault="00CB1971" w:rsidP="000768C3">
      <w:pPr>
        <w:pStyle w:val="ListParagraph"/>
        <w:numPr>
          <w:ilvl w:val="0"/>
          <w:numId w:val="16"/>
        </w:numPr>
      </w:pPr>
      <w:r w:rsidRPr="00CB1971">
        <w:t xml:space="preserve">Hospital Readmissions Reduction Program (HRRP) </w:t>
      </w:r>
    </w:p>
    <w:p w14:paraId="3D767F0B" w14:textId="52001DB0" w:rsidR="00CB1971" w:rsidRPr="00CB1971" w:rsidRDefault="00CB1971" w:rsidP="000768C3">
      <w:pPr>
        <w:pStyle w:val="ListParagraph"/>
        <w:numPr>
          <w:ilvl w:val="0"/>
          <w:numId w:val="16"/>
        </w:numPr>
      </w:pPr>
      <w:r w:rsidRPr="00CB1971">
        <w:t xml:space="preserve">Hospital Value-Based Purchasing Program (HVBP) </w:t>
      </w:r>
    </w:p>
    <w:p w14:paraId="05F4B02D" w14:textId="346702EA" w:rsidR="00CB1971" w:rsidRPr="00CB1971" w:rsidRDefault="00CB1971" w:rsidP="000768C3">
      <w:pPr>
        <w:pStyle w:val="ListParagraph"/>
        <w:numPr>
          <w:ilvl w:val="0"/>
          <w:numId w:val="16"/>
        </w:numPr>
      </w:pPr>
      <w:r w:rsidRPr="00CB1971">
        <w:t xml:space="preserve">Inpatient Psychiatric Facility Quality Reporting Program (IPFQR) </w:t>
      </w:r>
    </w:p>
    <w:p w14:paraId="17176666" w14:textId="79A6FC33" w:rsidR="00CB1971" w:rsidRPr="00CB1971" w:rsidRDefault="00CB1971" w:rsidP="000768C3">
      <w:pPr>
        <w:pStyle w:val="ListParagraph"/>
        <w:numPr>
          <w:ilvl w:val="0"/>
          <w:numId w:val="16"/>
        </w:numPr>
      </w:pPr>
      <w:r w:rsidRPr="00CB1971">
        <w:lastRenderedPageBreak/>
        <w:t xml:space="preserve">Inpatient Rehabilitation Facility Quality Reporting Program (IRF QRP) </w:t>
      </w:r>
    </w:p>
    <w:p w14:paraId="77C0056F" w14:textId="71730C15" w:rsidR="00CB1971" w:rsidRPr="00CB1971" w:rsidRDefault="00CB1971" w:rsidP="000768C3">
      <w:pPr>
        <w:pStyle w:val="ListParagraph"/>
        <w:numPr>
          <w:ilvl w:val="0"/>
          <w:numId w:val="16"/>
        </w:numPr>
      </w:pPr>
      <w:r w:rsidRPr="00CB1971">
        <w:t xml:space="preserve">Long-Term Care Hospital Quality Reporting Program (LTCH QRP) </w:t>
      </w:r>
    </w:p>
    <w:p w14:paraId="1C9D5DE0" w14:textId="49B23928" w:rsidR="00CB1971" w:rsidRPr="00CB1971" w:rsidRDefault="00CB1971" w:rsidP="000768C3">
      <w:pPr>
        <w:pStyle w:val="ListParagraph"/>
        <w:numPr>
          <w:ilvl w:val="0"/>
          <w:numId w:val="16"/>
        </w:numPr>
      </w:pPr>
      <w:r w:rsidRPr="00CB1971">
        <w:t xml:space="preserve">Medicare and Medicaid Promoting Interoperability Program for Eligible Hospitals (EHs) and Critical Access Hospitals (CAHs) </w:t>
      </w:r>
    </w:p>
    <w:p w14:paraId="5C27193D" w14:textId="7194912C" w:rsidR="00CB1971" w:rsidRPr="00CB1971" w:rsidRDefault="00CB1971" w:rsidP="000768C3">
      <w:pPr>
        <w:pStyle w:val="ListParagraph"/>
        <w:numPr>
          <w:ilvl w:val="0"/>
          <w:numId w:val="16"/>
        </w:numPr>
      </w:pPr>
      <w:r w:rsidRPr="00CB1971">
        <w:t xml:space="preserve">Medicare Shared Savings Program (Shared Savings Program) </w:t>
      </w:r>
    </w:p>
    <w:p w14:paraId="172D3E6C" w14:textId="5D963243" w:rsidR="00CB1971" w:rsidRDefault="00CB1971" w:rsidP="000768C3">
      <w:pPr>
        <w:pStyle w:val="ListParagraph"/>
        <w:numPr>
          <w:ilvl w:val="0"/>
          <w:numId w:val="16"/>
        </w:numPr>
      </w:pPr>
      <w:r w:rsidRPr="00CB1971">
        <w:t xml:space="preserve">Merit-based Incentive Payment System (MIPS) </w:t>
      </w:r>
    </w:p>
    <w:p w14:paraId="6613293A" w14:textId="7335F5FE" w:rsidR="00CB1971" w:rsidRPr="00CB1971" w:rsidRDefault="00CB1971" w:rsidP="000768C3">
      <w:pPr>
        <w:pStyle w:val="ListParagraph"/>
        <w:numPr>
          <w:ilvl w:val="0"/>
          <w:numId w:val="16"/>
        </w:numPr>
      </w:pPr>
      <w:r>
        <w:t>National Quality Forum (NQF)</w:t>
      </w:r>
    </w:p>
    <w:p w14:paraId="3DC06FAE" w14:textId="58ABB28E" w:rsidR="00CB1971" w:rsidRDefault="00CB1971" w:rsidP="000768C3">
      <w:pPr>
        <w:pStyle w:val="ListParagraph"/>
        <w:numPr>
          <w:ilvl w:val="0"/>
          <w:numId w:val="16"/>
        </w:numPr>
      </w:pPr>
      <w:r w:rsidRPr="00CB1971">
        <w:t xml:space="preserve">Prospective Payment System (PPS)-Exempt Cancer Hospital Quality Reporting Program (PCHQR) </w:t>
      </w:r>
    </w:p>
    <w:p w14:paraId="67934B60" w14:textId="45BA4D8A" w:rsidR="00CB1971" w:rsidRDefault="00CB1971" w:rsidP="000768C3">
      <w:pPr>
        <w:pStyle w:val="ListParagraph"/>
        <w:numPr>
          <w:ilvl w:val="0"/>
          <w:numId w:val="16"/>
        </w:numPr>
      </w:pPr>
      <w:r>
        <w:rPr>
          <w:color w:val="000000" w:themeColor="text1"/>
        </w:rPr>
        <w:t>Qualified Health Plan Quality Rating System</w:t>
      </w:r>
      <w:r w:rsidRPr="00CB1971">
        <w:t xml:space="preserve"> </w:t>
      </w:r>
      <w:r>
        <w:t>(QHP QRS)</w:t>
      </w:r>
    </w:p>
    <w:p w14:paraId="1A8933C4" w14:textId="41A16458" w:rsidR="00CB1971" w:rsidRPr="00CB1971" w:rsidRDefault="00CB1971" w:rsidP="000768C3">
      <w:pPr>
        <w:pStyle w:val="ListParagraph"/>
        <w:numPr>
          <w:ilvl w:val="0"/>
          <w:numId w:val="16"/>
        </w:numPr>
      </w:pPr>
      <w:r w:rsidRPr="00CB1971">
        <w:t xml:space="preserve">Skilled Nursing Facility Quality Reporting Program (SNF QRP) </w:t>
      </w:r>
    </w:p>
    <w:p w14:paraId="416EF246" w14:textId="34B6E726" w:rsidR="00384AEB" w:rsidRPr="00CB1971" w:rsidRDefault="00CB1971" w:rsidP="000768C3">
      <w:pPr>
        <w:pStyle w:val="ListParagraph"/>
        <w:numPr>
          <w:ilvl w:val="0"/>
          <w:numId w:val="16"/>
        </w:numPr>
      </w:pPr>
      <w:r w:rsidRPr="00CB1971">
        <w:t>Skilled Nursing Facility Value-Based Purchasing Program (SNF VBP)</w:t>
      </w:r>
    </w:p>
    <w:sectPr w:rsidR="00384AEB" w:rsidRPr="00CB1971" w:rsidSect="007B082A">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DCF1" w14:textId="77777777" w:rsidR="00AF5128" w:rsidRDefault="00AF5128" w:rsidP="007B082A">
      <w:pPr>
        <w:spacing w:after="0" w:line="240" w:lineRule="auto"/>
      </w:pPr>
      <w:r>
        <w:separator/>
      </w:r>
    </w:p>
  </w:endnote>
  <w:endnote w:type="continuationSeparator" w:id="0">
    <w:p w14:paraId="11CDE5A6" w14:textId="77777777" w:rsidR="00AF5128" w:rsidRDefault="00AF5128" w:rsidP="007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50D1" w14:textId="77777777" w:rsidR="009A314D" w:rsidRDefault="009A3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F7E0" w14:textId="77777777" w:rsidR="009A314D" w:rsidRDefault="009A3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0EF8" w14:textId="77777777" w:rsidR="009A314D" w:rsidRDefault="009A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0269" w14:textId="77777777" w:rsidR="00AF5128" w:rsidRDefault="00AF5128" w:rsidP="007B082A">
      <w:pPr>
        <w:spacing w:after="0" w:line="240" w:lineRule="auto"/>
      </w:pPr>
      <w:r>
        <w:separator/>
      </w:r>
    </w:p>
  </w:footnote>
  <w:footnote w:type="continuationSeparator" w:id="0">
    <w:p w14:paraId="53C46750" w14:textId="77777777" w:rsidR="00AF5128" w:rsidRDefault="00AF5128" w:rsidP="007B082A">
      <w:pPr>
        <w:spacing w:after="0" w:line="240" w:lineRule="auto"/>
      </w:pPr>
      <w:r>
        <w:continuationSeparator/>
      </w:r>
    </w:p>
  </w:footnote>
  <w:footnote w:id="1">
    <w:p w14:paraId="40E4F8D9" w14:textId="3691804A" w:rsidR="005425FB" w:rsidRPr="00A4497D" w:rsidRDefault="005425FB">
      <w:pPr>
        <w:pStyle w:val="FootnoteText"/>
      </w:pPr>
      <w:r>
        <w:rPr>
          <w:rStyle w:val="FootnoteReference"/>
        </w:rPr>
        <w:footnoteRef/>
      </w:r>
      <w:r>
        <w:t xml:space="preserve"> National Institute on Aging, U.S. Department of Health &amp; Human Services (2017, May 17). </w:t>
      </w:r>
      <w:r>
        <w:rPr>
          <w:i/>
        </w:rPr>
        <w:t>What Is End-of-Life Care</w:t>
      </w:r>
      <w:proofErr w:type="gramStart"/>
      <w:r>
        <w:rPr>
          <w:i/>
        </w:rPr>
        <w:t>?</w:t>
      </w:r>
      <w:r>
        <w:t>.</w:t>
      </w:r>
      <w:proofErr w:type="gramEnd"/>
      <w:r>
        <w:t xml:space="preserve"> Retrieved from</w:t>
      </w:r>
      <w:r w:rsidRPr="00A4497D">
        <w:t xml:space="preserve"> </w:t>
      </w:r>
      <w:hyperlink r:id="rId1" w:history="1">
        <w:r w:rsidRPr="00F4240A">
          <w:rPr>
            <w:rStyle w:val="Hyperlink"/>
          </w:rPr>
          <w:t>https://www.nia.nih.gov/health/what-end-life-care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320B" w14:textId="77777777" w:rsidR="009A314D" w:rsidRDefault="009A3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4D3D" w14:textId="1A2AD31F" w:rsidR="005425FB" w:rsidRDefault="009A314D" w:rsidP="00384AEB">
    <w:pPr>
      <w:pStyle w:val="Header"/>
      <w:jc w:val="right"/>
    </w:pPr>
    <w:r>
      <w:t>Up</w:t>
    </w:r>
    <w:r w:rsidR="00E702B3">
      <w:t xml:space="preserve"> to date as of July 19,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DEA2" w14:textId="77777777" w:rsidR="009A314D" w:rsidRDefault="009A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787"/>
    <w:multiLevelType w:val="hybridMultilevel"/>
    <w:tmpl w:val="4C84D022"/>
    <w:lvl w:ilvl="0" w:tplc="53F41EA6">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37DDB"/>
    <w:multiLevelType w:val="hybridMultilevel"/>
    <w:tmpl w:val="6F2A2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A3D9D"/>
    <w:multiLevelType w:val="hybridMultilevel"/>
    <w:tmpl w:val="BCE2AF8A"/>
    <w:lvl w:ilvl="0" w:tplc="314ECF64">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77AF9"/>
    <w:multiLevelType w:val="hybridMultilevel"/>
    <w:tmpl w:val="D9C88A36"/>
    <w:lvl w:ilvl="0" w:tplc="C86422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604C"/>
    <w:multiLevelType w:val="hybridMultilevel"/>
    <w:tmpl w:val="5F906BEE"/>
    <w:lvl w:ilvl="0" w:tplc="E1E22F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1A390B"/>
    <w:multiLevelType w:val="hybridMultilevel"/>
    <w:tmpl w:val="758CE912"/>
    <w:lvl w:ilvl="0" w:tplc="F7785ADE">
      <w:start w:val="1"/>
      <w:numFmt w:val="bullet"/>
      <w:suff w:val="space"/>
      <w:lvlText w:val=""/>
      <w:lvlJc w:val="left"/>
      <w:pPr>
        <w:ind w:left="288" w:hanging="144"/>
      </w:pPr>
      <w:rPr>
        <w:rFonts w:ascii="Symbol" w:hAnsi="Symbol" w:hint="default"/>
        <w:b w:val="0"/>
      </w:rPr>
    </w:lvl>
    <w:lvl w:ilvl="1" w:tplc="E21CE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A1D56"/>
    <w:multiLevelType w:val="hybridMultilevel"/>
    <w:tmpl w:val="07244C9C"/>
    <w:lvl w:ilvl="0" w:tplc="4296EA16">
      <w:start w:val="1"/>
      <w:numFmt w:val="lowerLetter"/>
      <w:suff w:val="space"/>
      <w:lvlText w:val="%1)"/>
      <w:lvlJc w:val="left"/>
      <w:pPr>
        <w:ind w:left="0" w:firstLine="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608B7"/>
    <w:multiLevelType w:val="hybridMultilevel"/>
    <w:tmpl w:val="10AAC910"/>
    <w:lvl w:ilvl="0" w:tplc="C8C835D4">
      <w:start w:val="1"/>
      <w:numFmt w:val="bullet"/>
      <w:suff w:val="space"/>
      <w:lvlText w:val=""/>
      <w:lvlJc w:val="left"/>
      <w:pPr>
        <w:ind w:left="0" w:firstLine="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A93FE6"/>
    <w:multiLevelType w:val="hybridMultilevel"/>
    <w:tmpl w:val="D46A91A4"/>
    <w:lvl w:ilvl="0" w:tplc="30FC8A94">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0F18F9"/>
    <w:multiLevelType w:val="hybridMultilevel"/>
    <w:tmpl w:val="43E6269A"/>
    <w:lvl w:ilvl="0" w:tplc="12383060">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466428"/>
    <w:multiLevelType w:val="hybridMultilevel"/>
    <w:tmpl w:val="E5942036"/>
    <w:lvl w:ilvl="0" w:tplc="417C80C8">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BE38DB"/>
    <w:multiLevelType w:val="hybridMultilevel"/>
    <w:tmpl w:val="F940CB12"/>
    <w:lvl w:ilvl="0" w:tplc="A1B05876">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4B6345"/>
    <w:multiLevelType w:val="hybridMultilevel"/>
    <w:tmpl w:val="5C2C87D2"/>
    <w:lvl w:ilvl="0" w:tplc="B636E204">
      <w:start w:val="1"/>
      <w:numFmt w:val="lowerLetter"/>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CA239C"/>
    <w:multiLevelType w:val="hybridMultilevel"/>
    <w:tmpl w:val="E28A56AE"/>
    <w:lvl w:ilvl="0" w:tplc="0D96A19C">
      <w:start w:val="1"/>
      <w:numFmt w:val="decimal"/>
      <w:lvlText w:val="%1."/>
      <w:lvlJc w:val="left"/>
      <w:pPr>
        <w:ind w:left="720" w:hanging="360"/>
      </w:pPr>
      <w:rPr>
        <w:b/>
      </w:rPr>
    </w:lvl>
    <w:lvl w:ilvl="1" w:tplc="83CC91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C627C"/>
    <w:multiLevelType w:val="hybridMultilevel"/>
    <w:tmpl w:val="EA72DB68"/>
    <w:lvl w:ilvl="0" w:tplc="C8642282">
      <w:start w:val="1"/>
      <w:numFmt w:val="bullet"/>
      <w:lvlText w:val=""/>
      <w:lvlJc w:val="left"/>
      <w:pPr>
        <w:ind w:left="0" w:firstLine="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9B2239"/>
    <w:multiLevelType w:val="hybridMultilevel"/>
    <w:tmpl w:val="9F24B87C"/>
    <w:lvl w:ilvl="0" w:tplc="0604460C">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02F91"/>
    <w:multiLevelType w:val="hybridMultilevel"/>
    <w:tmpl w:val="3E40AFBC"/>
    <w:lvl w:ilvl="0" w:tplc="6E60C5A8">
      <w:start w:val="1"/>
      <w:numFmt w:val="lowerLetter"/>
      <w:suff w:val="space"/>
      <w:lvlText w:val="%1)"/>
      <w:lvlJc w:val="left"/>
      <w:pPr>
        <w:ind w:left="72" w:hanging="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1"/>
  </w:num>
  <w:num w:numId="4">
    <w:abstractNumId w:val="16"/>
  </w:num>
  <w:num w:numId="5">
    <w:abstractNumId w:val="8"/>
  </w:num>
  <w:num w:numId="6">
    <w:abstractNumId w:val="10"/>
  </w:num>
  <w:num w:numId="7">
    <w:abstractNumId w:val="9"/>
  </w:num>
  <w:num w:numId="8">
    <w:abstractNumId w:val="2"/>
  </w:num>
  <w:num w:numId="9">
    <w:abstractNumId w:val="12"/>
  </w:num>
  <w:num w:numId="10">
    <w:abstractNumId w:val="6"/>
  </w:num>
  <w:num w:numId="11">
    <w:abstractNumId w:val="14"/>
  </w:num>
  <w:num w:numId="12">
    <w:abstractNumId w:val="7"/>
  </w:num>
  <w:num w:numId="13">
    <w:abstractNumId w:val="15"/>
  </w:num>
  <w:num w:numId="14">
    <w:abstractNumId w:val="1"/>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2A"/>
    <w:rsid w:val="0000602D"/>
    <w:rsid w:val="0005396E"/>
    <w:rsid w:val="0005725A"/>
    <w:rsid w:val="000768C3"/>
    <w:rsid w:val="00097B33"/>
    <w:rsid w:val="000A0A6C"/>
    <w:rsid w:val="000A28CF"/>
    <w:rsid w:val="000A7DCC"/>
    <w:rsid w:val="000B1411"/>
    <w:rsid w:val="000C7291"/>
    <w:rsid w:val="000F4509"/>
    <w:rsid w:val="000F4F29"/>
    <w:rsid w:val="001033A7"/>
    <w:rsid w:val="00141A38"/>
    <w:rsid w:val="001428E1"/>
    <w:rsid w:val="00172886"/>
    <w:rsid w:val="00193C2F"/>
    <w:rsid w:val="001A24CA"/>
    <w:rsid w:val="001A69D0"/>
    <w:rsid w:val="001C6DAC"/>
    <w:rsid w:val="001D32E8"/>
    <w:rsid w:val="001E61DF"/>
    <w:rsid w:val="00200C7E"/>
    <w:rsid w:val="00215C0D"/>
    <w:rsid w:val="00234D35"/>
    <w:rsid w:val="0023586C"/>
    <w:rsid w:val="002906DB"/>
    <w:rsid w:val="0029334C"/>
    <w:rsid w:val="00297E21"/>
    <w:rsid w:val="002B4E65"/>
    <w:rsid w:val="00307580"/>
    <w:rsid w:val="00377E05"/>
    <w:rsid w:val="0038450E"/>
    <w:rsid w:val="00384AEB"/>
    <w:rsid w:val="003C0514"/>
    <w:rsid w:val="003C6782"/>
    <w:rsid w:val="003D1244"/>
    <w:rsid w:val="00401C9A"/>
    <w:rsid w:val="00401E4C"/>
    <w:rsid w:val="00431B19"/>
    <w:rsid w:val="00432849"/>
    <w:rsid w:val="004428DA"/>
    <w:rsid w:val="00486E36"/>
    <w:rsid w:val="0049435E"/>
    <w:rsid w:val="004B6B08"/>
    <w:rsid w:val="004C4706"/>
    <w:rsid w:val="004E7630"/>
    <w:rsid w:val="00506359"/>
    <w:rsid w:val="0052268C"/>
    <w:rsid w:val="005425FB"/>
    <w:rsid w:val="00586CEE"/>
    <w:rsid w:val="005D6F01"/>
    <w:rsid w:val="005F3308"/>
    <w:rsid w:val="00616854"/>
    <w:rsid w:val="00665F73"/>
    <w:rsid w:val="00681E90"/>
    <w:rsid w:val="00696BF9"/>
    <w:rsid w:val="006A4538"/>
    <w:rsid w:val="006E3717"/>
    <w:rsid w:val="00716CF1"/>
    <w:rsid w:val="00743E7E"/>
    <w:rsid w:val="00746205"/>
    <w:rsid w:val="0076313F"/>
    <w:rsid w:val="007A2670"/>
    <w:rsid w:val="007B082A"/>
    <w:rsid w:val="007B3EFF"/>
    <w:rsid w:val="007E6B2A"/>
    <w:rsid w:val="007F059A"/>
    <w:rsid w:val="008248B2"/>
    <w:rsid w:val="00836A01"/>
    <w:rsid w:val="0086741E"/>
    <w:rsid w:val="00884969"/>
    <w:rsid w:val="008C5D87"/>
    <w:rsid w:val="00941DCB"/>
    <w:rsid w:val="009611EE"/>
    <w:rsid w:val="00963803"/>
    <w:rsid w:val="00971B67"/>
    <w:rsid w:val="00982B1E"/>
    <w:rsid w:val="009A314D"/>
    <w:rsid w:val="009B60E2"/>
    <w:rsid w:val="009F5F54"/>
    <w:rsid w:val="00A4497D"/>
    <w:rsid w:val="00A86922"/>
    <w:rsid w:val="00AA2415"/>
    <w:rsid w:val="00AB55C7"/>
    <w:rsid w:val="00AF5128"/>
    <w:rsid w:val="00B13ACE"/>
    <w:rsid w:val="00B1601F"/>
    <w:rsid w:val="00B56AB2"/>
    <w:rsid w:val="00BB48EF"/>
    <w:rsid w:val="00BE3D84"/>
    <w:rsid w:val="00BF5D03"/>
    <w:rsid w:val="00C15349"/>
    <w:rsid w:val="00C34B33"/>
    <w:rsid w:val="00C37BD7"/>
    <w:rsid w:val="00C672E5"/>
    <w:rsid w:val="00C67314"/>
    <w:rsid w:val="00C86AE4"/>
    <w:rsid w:val="00CB1971"/>
    <w:rsid w:val="00CE0AC1"/>
    <w:rsid w:val="00D06CCF"/>
    <w:rsid w:val="00D213AC"/>
    <w:rsid w:val="00D30D8C"/>
    <w:rsid w:val="00D43B65"/>
    <w:rsid w:val="00D72D81"/>
    <w:rsid w:val="00DB539A"/>
    <w:rsid w:val="00DB6EEA"/>
    <w:rsid w:val="00DC1F8C"/>
    <w:rsid w:val="00DC30FE"/>
    <w:rsid w:val="00DD380B"/>
    <w:rsid w:val="00E156F5"/>
    <w:rsid w:val="00E37845"/>
    <w:rsid w:val="00E702B3"/>
    <w:rsid w:val="00E70F9F"/>
    <w:rsid w:val="00E8657B"/>
    <w:rsid w:val="00F000CF"/>
    <w:rsid w:val="00F80366"/>
    <w:rsid w:val="00F8368C"/>
    <w:rsid w:val="00F8454C"/>
    <w:rsid w:val="00F87860"/>
    <w:rsid w:val="00FA392C"/>
    <w:rsid w:val="00FC2659"/>
    <w:rsid w:val="00FD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A2BD"/>
  <w15:chartTrackingRefBased/>
  <w15:docId w15:val="{35FBF4AD-3BC8-4ACB-9CF9-49DBEEF6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82A"/>
    <w:pPr>
      <w:ind w:left="720"/>
      <w:contextualSpacing/>
    </w:pPr>
  </w:style>
  <w:style w:type="paragraph" w:styleId="FootnoteText">
    <w:name w:val="footnote text"/>
    <w:basedOn w:val="Normal"/>
    <w:link w:val="FootnoteTextChar"/>
    <w:uiPriority w:val="99"/>
    <w:semiHidden/>
    <w:unhideWhenUsed/>
    <w:rsid w:val="007B08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82A"/>
    <w:rPr>
      <w:sz w:val="20"/>
      <w:szCs w:val="20"/>
    </w:rPr>
  </w:style>
  <w:style w:type="character" w:styleId="FootnoteReference">
    <w:name w:val="footnote reference"/>
    <w:basedOn w:val="DefaultParagraphFont"/>
    <w:uiPriority w:val="99"/>
    <w:semiHidden/>
    <w:unhideWhenUsed/>
    <w:rsid w:val="007B082A"/>
    <w:rPr>
      <w:vertAlign w:val="superscript"/>
    </w:rPr>
  </w:style>
  <w:style w:type="paragraph" w:styleId="Title">
    <w:name w:val="Title"/>
    <w:basedOn w:val="Normal"/>
    <w:next w:val="Normal"/>
    <w:link w:val="TitleChar"/>
    <w:uiPriority w:val="10"/>
    <w:qFormat/>
    <w:rsid w:val="00FA3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EB"/>
  </w:style>
  <w:style w:type="paragraph" w:styleId="Footer">
    <w:name w:val="footer"/>
    <w:basedOn w:val="Normal"/>
    <w:link w:val="FooterChar"/>
    <w:uiPriority w:val="99"/>
    <w:unhideWhenUsed/>
    <w:rsid w:val="0038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EB"/>
  </w:style>
  <w:style w:type="character" w:styleId="CommentReference">
    <w:name w:val="annotation reference"/>
    <w:basedOn w:val="DefaultParagraphFont"/>
    <w:uiPriority w:val="99"/>
    <w:semiHidden/>
    <w:unhideWhenUsed/>
    <w:rsid w:val="00DC1F8C"/>
    <w:rPr>
      <w:sz w:val="16"/>
      <w:szCs w:val="16"/>
    </w:rPr>
  </w:style>
  <w:style w:type="paragraph" w:styleId="CommentText">
    <w:name w:val="annotation text"/>
    <w:basedOn w:val="Normal"/>
    <w:link w:val="CommentTextChar"/>
    <w:uiPriority w:val="99"/>
    <w:unhideWhenUsed/>
    <w:rsid w:val="00DC1F8C"/>
    <w:pPr>
      <w:spacing w:line="240" w:lineRule="auto"/>
    </w:pPr>
    <w:rPr>
      <w:sz w:val="20"/>
      <w:szCs w:val="20"/>
    </w:rPr>
  </w:style>
  <w:style w:type="character" w:customStyle="1" w:styleId="CommentTextChar">
    <w:name w:val="Comment Text Char"/>
    <w:basedOn w:val="DefaultParagraphFont"/>
    <w:link w:val="CommentText"/>
    <w:uiPriority w:val="99"/>
    <w:rsid w:val="00DC1F8C"/>
    <w:rPr>
      <w:sz w:val="20"/>
      <w:szCs w:val="20"/>
    </w:rPr>
  </w:style>
  <w:style w:type="paragraph" w:styleId="CommentSubject">
    <w:name w:val="annotation subject"/>
    <w:basedOn w:val="CommentText"/>
    <w:next w:val="CommentText"/>
    <w:link w:val="CommentSubjectChar"/>
    <w:uiPriority w:val="99"/>
    <w:semiHidden/>
    <w:unhideWhenUsed/>
    <w:rsid w:val="00DC1F8C"/>
    <w:rPr>
      <w:b/>
      <w:bCs/>
    </w:rPr>
  </w:style>
  <w:style w:type="character" w:customStyle="1" w:styleId="CommentSubjectChar">
    <w:name w:val="Comment Subject Char"/>
    <w:basedOn w:val="CommentTextChar"/>
    <w:link w:val="CommentSubject"/>
    <w:uiPriority w:val="99"/>
    <w:semiHidden/>
    <w:rsid w:val="00DC1F8C"/>
    <w:rPr>
      <w:b/>
      <w:bCs/>
      <w:sz w:val="20"/>
      <w:szCs w:val="20"/>
    </w:rPr>
  </w:style>
  <w:style w:type="paragraph" w:styleId="BalloonText">
    <w:name w:val="Balloon Text"/>
    <w:basedOn w:val="Normal"/>
    <w:link w:val="BalloonTextChar"/>
    <w:uiPriority w:val="99"/>
    <w:semiHidden/>
    <w:unhideWhenUsed/>
    <w:rsid w:val="00DC1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8C"/>
    <w:rPr>
      <w:rFonts w:ascii="Segoe UI" w:hAnsi="Segoe UI" w:cs="Segoe UI"/>
      <w:sz w:val="18"/>
      <w:szCs w:val="18"/>
    </w:rPr>
  </w:style>
  <w:style w:type="paragraph" w:customStyle="1" w:styleId="Default">
    <w:name w:val="Default"/>
    <w:rsid w:val="00C67314"/>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506359"/>
    <w:rPr>
      <w:b/>
      <w:bCs/>
      <w:i w:val="0"/>
      <w:iCs w:val="0"/>
    </w:rPr>
  </w:style>
  <w:style w:type="character" w:customStyle="1" w:styleId="st1">
    <w:name w:val="st1"/>
    <w:basedOn w:val="DefaultParagraphFont"/>
    <w:rsid w:val="00506359"/>
  </w:style>
  <w:style w:type="character" w:styleId="Hyperlink">
    <w:name w:val="Hyperlink"/>
    <w:basedOn w:val="DefaultParagraphFont"/>
    <w:uiPriority w:val="99"/>
    <w:unhideWhenUsed/>
    <w:rsid w:val="00E8657B"/>
    <w:rPr>
      <w:color w:val="0563C1" w:themeColor="hyperlink"/>
      <w:u w:val="single"/>
    </w:rPr>
  </w:style>
  <w:style w:type="character" w:styleId="FollowedHyperlink">
    <w:name w:val="FollowedHyperlink"/>
    <w:basedOn w:val="DefaultParagraphFont"/>
    <w:uiPriority w:val="99"/>
    <w:semiHidden/>
    <w:unhideWhenUsed/>
    <w:rsid w:val="00E8657B"/>
    <w:rPr>
      <w:color w:val="954F72" w:themeColor="followedHyperlink"/>
      <w:u w:val="single"/>
    </w:rPr>
  </w:style>
  <w:style w:type="paragraph" w:styleId="Revision">
    <w:name w:val="Revision"/>
    <w:hidden/>
    <w:uiPriority w:val="99"/>
    <w:semiHidden/>
    <w:rsid w:val="0098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7978">
      <w:bodyDiv w:val="1"/>
      <w:marLeft w:val="0"/>
      <w:marRight w:val="0"/>
      <w:marTop w:val="0"/>
      <w:marBottom w:val="0"/>
      <w:divBdr>
        <w:top w:val="none" w:sz="0" w:space="0" w:color="auto"/>
        <w:left w:val="none" w:sz="0" w:space="0" w:color="auto"/>
        <w:bottom w:val="none" w:sz="0" w:space="0" w:color="auto"/>
        <w:right w:val="none" w:sz="0" w:space="0" w:color="auto"/>
      </w:divBdr>
    </w:div>
    <w:div w:id="11006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aningfulMeasuresQA@cms.h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ia.nih.gov/health/what-end-lif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ue_x0020_To xmlns="8e339a5e-c01a-45cc-b33e-51bebe8e35dc">CCSQ Front Office</Due_x0020_To>
    <IconOverlay xmlns="http://schemas.microsoft.com/sharepoint/v4" xsi:nil="true"/>
    <Completed xmlns="8e339a5e-c01a-45cc-b33e-51bebe8e35dc">true</Completed>
    <Instructions xmlns="8e339a5e-c01a-45cc-b33e-51bebe8e35dc">Can Reena, Michelle and Maria all review?</Instructions>
    <Topic xmlns="8e339a5e-c01a-45cc-b33e-51bebe8e35dc">Meaningful Measures</Topic>
    <Assigned_x0020_To0 xmlns="8e339a5e-c01a-45cc-b33e-51bebe8e35dc">
      <Value>FRONT Office</Value>
      <Value>DPMS</Value>
    </Assigned_x0020_To0>
    <Due_x0020_Date xmlns="8e339a5e-c01a-45cc-b33e-51bebe8e35dc">2019-06-10T04:00:00+00:00</Du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E685389141F9429EFA42B501A40619" ma:contentTypeVersion="16" ma:contentTypeDescription="Create a new document." ma:contentTypeScope="" ma:versionID="6b0e24aea5f321b9dc81398288aca180">
  <xsd:schema xmlns:xsd="http://www.w3.org/2001/XMLSchema" xmlns:xs="http://www.w3.org/2001/XMLSchema" xmlns:p="http://schemas.microsoft.com/office/2006/metadata/properties" xmlns:ns2="8e339a5e-c01a-45cc-b33e-51bebe8e35dc" xmlns:ns3="http://schemas.microsoft.com/sharepoint/v4" targetNamespace="http://schemas.microsoft.com/office/2006/metadata/properties" ma:root="true" ma:fieldsID="d904b5ce081f6ee0ffb8450398a2cd38" ns2:_="" ns3:_="">
    <xsd:import namespace="8e339a5e-c01a-45cc-b33e-51bebe8e35dc"/>
    <xsd:import namespace="http://schemas.microsoft.com/sharepoint/v4"/>
    <xsd:element name="properties">
      <xsd:complexType>
        <xsd:sequence>
          <xsd:element name="documentManagement">
            <xsd:complexType>
              <xsd:all>
                <xsd:element ref="ns2:Due_x0020_Date" minOccurs="0"/>
                <xsd:element ref="ns2:Completed" minOccurs="0"/>
                <xsd:element ref="ns2:Topic" minOccurs="0"/>
                <xsd:element ref="ns3:IconOverlay" minOccurs="0"/>
                <xsd:element ref="ns2:Assigned_x0020_To0" minOccurs="0"/>
                <xsd:element ref="ns2:Instructions" minOccurs="0"/>
                <xsd:element ref="ns2:Due_x0020_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39a5e-c01a-45cc-b33e-51bebe8e35dc" elementFormDefault="qualified">
    <xsd:import namespace="http://schemas.microsoft.com/office/2006/documentManagement/types"/>
    <xsd:import namespace="http://schemas.microsoft.com/office/infopath/2007/PartnerControls"/>
    <xsd:element name="Due_x0020_Date" ma:index="8" nillable="true" ma:displayName="Due Date" ma:description="When is this item due?" ma:format="DateOnly" ma:internalName="Due_x0020_Date">
      <xsd:simpleType>
        <xsd:restriction base="dms:DateTime"/>
      </xsd:simpleType>
    </xsd:element>
    <xsd:element name="Completed" ma:index="9" nillable="true" ma:displayName="Completed" ma:default="0" ma:description="Has the Group Completed This Item?" ma:internalName="Completed">
      <xsd:simpleType>
        <xsd:restriction base="dms:Boolean"/>
      </xsd:simpleType>
    </xsd:element>
    <xsd:element name="Topic" ma:index="10" nillable="true" ma:displayName="Topic" ma:description="Entered to group deliverables that have separate deliverables from multiple people or divisions&#10;" ma:internalName="Topic">
      <xsd:simpleType>
        <xsd:restriction base="dms:Text">
          <xsd:maxLength value="255"/>
        </xsd:restriction>
      </xsd:simpleType>
    </xsd:element>
    <xsd:element name="Assigned_x0020_To0" ma:index="12" nillable="true" ma:displayName="Assigned To" ma:default="FRONT Office" ma:description="Divisions Assigned To" ma:internalName="Assigned_x0020_To0" ma:requiredMultiChoice="true">
      <xsd:complexType>
        <xsd:complexContent>
          <xsd:extension base="dms:MultiChoice">
            <xsd:sequence>
              <xsd:element name="Value" maxOccurs="unbounded" minOccurs="0" nillable="true">
                <xsd:simpleType>
                  <xsd:restriction base="dms:Choice">
                    <xsd:enumeration value="FRONT Office"/>
                    <xsd:enumeration value="DCPAC"/>
                    <xsd:enumeration value="DECQ"/>
                    <xsd:enumeration value="DHIT"/>
                    <xsd:enumeration value="DPMS"/>
                    <xsd:enumeration value="DQM"/>
                    <xsd:enumeration value="DVIQR"/>
                  </xsd:restriction>
                </xsd:simpleType>
              </xsd:element>
            </xsd:sequence>
          </xsd:extension>
        </xsd:complexContent>
      </xsd:complexType>
    </xsd:element>
    <xsd:element name="Instructions" ma:index="13" nillable="true" ma:displayName="Instructions" ma:internalName="Instructions">
      <xsd:simpleType>
        <xsd:restriction base="dms:Note">
          <xsd:maxLength value="255"/>
        </xsd:restriction>
      </xsd:simpleType>
    </xsd:element>
    <xsd:element name="Due_x0020_To" ma:index="14" nillable="true" ma:displayName="Due To" ma:default="CCSQ Front Office" ma:description="What office will this item be delivered to?" ma:format="Dropdown" ma:internalName="Due_x0020_To">
      <xsd:simpleType>
        <xsd:restriction base="dms:Choice">
          <xsd:enumeration value="CCSQ Front Office"/>
          <xsd:enumeration value="QMVIG Front Office"/>
          <xsd:enumeration value="Front Offic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92BF162-A3C3-45D0-AA33-79A39DC44342}">
  <ds:schemaRefs>
    <ds:schemaRef ds:uri="http://schemas.microsoft.com/sharepoint/v3/contenttype/forms"/>
  </ds:schemaRefs>
</ds:datastoreItem>
</file>

<file path=customXml/itemProps2.xml><?xml version="1.0" encoding="utf-8"?>
<ds:datastoreItem xmlns:ds="http://schemas.openxmlformats.org/officeDocument/2006/customXml" ds:itemID="{8EA6C3DB-4F82-4964-9626-5DE1F4EDC422}">
  <ds:schemaRefs>
    <ds:schemaRef ds:uri="http://schemas.microsoft.com/office/2006/metadata/properties"/>
    <ds:schemaRef ds:uri="http://schemas.microsoft.com/office/infopath/2007/PartnerControls"/>
    <ds:schemaRef ds:uri="8e339a5e-c01a-45cc-b33e-51bebe8e35dc"/>
    <ds:schemaRef ds:uri="http://schemas.microsoft.com/sharepoint/v4"/>
  </ds:schemaRefs>
</ds:datastoreItem>
</file>

<file path=customXml/itemProps3.xml><?xml version="1.0" encoding="utf-8"?>
<ds:datastoreItem xmlns:ds="http://schemas.openxmlformats.org/officeDocument/2006/customXml" ds:itemID="{772DBCE2-7651-446A-A412-7781F08A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39a5e-c01a-45cc-b33e-51bebe8e35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5CD17-592A-4CEF-9A94-C4C0DB5A1084}">
  <ds:schemaRefs>
    <ds:schemaRef ds:uri="Microsoft.SharePoint.Taxonomy.ContentTypeSync"/>
  </ds:schemaRefs>
</ds:datastoreItem>
</file>

<file path=customXml/itemProps5.xml><?xml version="1.0" encoding="utf-8"?>
<ds:datastoreItem xmlns:ds="http://schemas.openxmlformats.org/officeDocument/2006/customXml" ds:itemID="{361B8BC4-98E3-4995-B152-54F2E99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KimberlyRawlings</dc:creator>
  <cp:keywords/>
  <dc:description/>
  <cp:lastModifiedBy>KimberlyRawlings</cp:lastModifiedBy>
  <cp:revision>6</cp:revision>
  <dcterms:created xsi:type="dcterms:W3CDTF">2019-07-10T21:14:00Z</dcterms:created>
  <dcterms:modified xsi:type="dcterms:W3CDTF">2019-07-22T14:44:00Z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0x01010026E685389141F9429EFA42B501A40619</vt:lpwstr>
  </property>
</Properties>
</file>