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56F" w:rsidRDefault="002E156F" w:rsidP="002E156F">
      <w:pPr>
        <w:spacing w:before="64" w:line="320" w:lineRule="exact"/>
        <w:ind w:left="119" w:right="113"/>
        <w:rPr>
          <w:rFonts w:ascii="Times New Roman"/>
          <w:b/>
          <w:sz w:val="28"/>
        </w:rPr>
      </w:pPr>
      <w:bookmarkStart w:id="0" w:name="_GoBack"/>
      <w:bookmarkEnd w:id="0"/>
    </w:p>
    <w:p w:rsidR="002E156F" w:rsidRDefault="002E156F" w:rsidP="002E156F">
      <w:pPr>
        <w:spacing w:before="64" w:line="320" w:lineRule="exact"/>
        <w:ind w:left="119" w:right="113"/>
        <w:rPr>
          <w:rFonts w:ascii="Times New Roman" w:eastAsia="Times New Roman" w:hAnsi="Times New Roman" w:cs="Times New Roman"/>
          <w:sz w:val="28"/>
          <w:szCs w:val="28"/>
        </w:rPr>
      </w:pPr>
      <w:r>
        <w:rPr>
          <w:rFonts w:ascii="Times New Roman"/>
          <w:b/>
          <w:sz w:val="28"/>
        </w:rPr>
        <w:t>Reviewing Short Stay Hospital Claims for Patient Status: Admissions On or After January 1,</w:t>
      </w:r>
      <w:r>
        <w:rPr>
          <w:rFonts w:ascii="Times New Roman"/>
          <w:b/>
          <w:spacing w:val="-28"/>
          <w:sz w:val="28"/>
        </w:rPr>
        <w:t xml:space="preserve"> 2016</w:t>
      </w:r>
    </w:p>
    <w:p w:rsidR="002E156F" w:rsidRDefault="002E156F" w:rsidP="002E156F">
      <w:pPr>
        <w:spacing w:line="251" w:lineRule="exact"/>
        <w:ind w:left="120" w:right="113"/>
        <w:rPr>
          <w:rFonts w:ascii="Times New Roman" w:eastAsia="Times New Roman" w:hAnsi="Times New Roman" w:cs="Times New Roman"/>
        </w:rPr>
      </w:pPr>
      <w:r>
        <w:rPr>
          <w:rFonts w:ascii="Times New Roman"/>
        </w:rPr>
        <w:t>(Last Updated:</w:t>
      </w:r>
      <w:r>
        <w:rPr>
          <w:rFonts w:ascii="Times New Roman"/>
          <w:spacing w:val="-4"/>
        </w:rPr>
        <w:t xml:space="preserve"> 1/</w:t>
      </w:r>
      <w:r w:rsidR="006E164A">
        <w:rPr>
          <w:rFonts w:ascii="Times New Roman"/>
          <w:spacing w:val="-4"/>
        </w:rPr>
        <w:t>5</w:t>
      </w:r>
      <w:r>
        <w:rPr>
          <w:rFonts w:ascii="Times New Roman"/>
          <w:spacing w:val="-4"/>
        </w:rPr>
        <w:t>/2015</w:t>
      </w:r>
      <w:r>
        <w:rPr>
          <w:rFonts w:ascii="Times New Roman"/>
        </w:rPr>
        <w:t>)</w:t>
      </w:r>
    </w:p>
    <w:p w:rsidR="002E156F" w:rsidRDefault="002E156F" w:rsidP="002E156F">
      <w:pPr>
        <w:spacing w:before="2"/>
        <w:rPr>
          <w:rFonts w:ascii="Times New Roman" w:eastAsia="Times New Roman" w:hAnsi="Times New Roman" w:cs="Times New Roman"/>
          <w:sz w:val="18"/>
          <w:szCs w:val="18"/>
        </w:rPr>
      </w:pPr>
    </w:p>
    <w:p w:rsidR="002E156F" w:rsidRDefault="002E156F" w:rsidP="002E156F">
      <w:pPr>
        <w:pStyle w:val="Heading1"/>
        <w:spacing w:before="69"/>
        <w:ind w:left="120" w:right="113"/>
        <w:rPr>
          <w:b w:val="0"/>
          <w:bCs w:val="0"/>
        </w:rPr>
      </w:pPr>
      <w:r>
        <w:rPr>
          <w:u w:val="thick" w:color="000000"/>
        </w:rPr>
        <w:t>Medical Review of Inpatient Hospital</w:t>
      </w:r>
      <w:r>
        <w:rPr>
          <w:spacing w:val="-16"/>
          <w:u w:val="thick" w:color="000000"/>
        </w:rPr>
        <w:t xml:space="preserve"> </w:t>
      </w:r>
      <w:r>
        <w:rPr>
          <w:u w:val="thick" w:color="000000"/>
        </w:rPr>
        <w:t>Claims</w:t>
      </w:r>
    </w:p>
    <w:p w:rsidR="002E156F" w:rsidRDefault="002E156F" w:rsidP="002E156F">
      <w:pPr>
        <w:pStyle w:val="BodyText"/>
        <w:spacing w:beforeLines="69" w:before="165"/>
        <w:ind w:left="115" w:right="115"/>
      </w:pPr>
      <w:r>
        <w:t xml:space="preserve">On October 1, 2015, the Beneficiary and Family Centered Care (BFCC) Quality Improvement Organizations (QIOs) began conducting </w:t>
      </w:r>
      <w:r w:rsidRPr="008D7616">
        <w:t xml:space="preserve">initial patient status reviews of </w:t>
      </w:r>
      <w:r w:rsidRPr="001B6B73">
        <w:t xml:space="preserve">acute care inpatient hospitals, long-term care hospitals, and inpatient psychiatric facilities </w:t>
      </w:r>
      <w:r w:rsidRPr="008D7616">
        <w:t>to determine the appropriateness of</w:t>
      </w:r>
      <w:r>
        <w:t xml:space="preserve"> </w:t>
      </w:r>
      <w:r w:rsidRPr="008D7616">
        <w:t xml:space="preserve">Part A payment for short stay inpatient hospital </w:t>
      </w:r>
      <w:r>
        <w:t>claims.  The claims are being reviewed in accordance with the FY 2014 Hospital IPPS Final Rule CMS-1599-F, which provided two</w:t>
      </w:r>
      <w:r>
        <w:rPr>
          <w:spacing w:val="-16"/>
        </w:rPr>
        <w:t xml:space="preserve"> </w:t>
      </w:r>
      <w:r>
        <w:t xml:space="preserve">distinct, although related, medical review policies: a 2 midnight </w:t>
      </w:r>
      <w:r w:rsidRPr="00614E75">
        <w:rPr>
          <w:rFonts w:cs="Times New Roman"/>
          <w:bCs/>
        </w:rPr>
        <w:t>presumption</w:t>
      </w:r>
      <w:r w:rsidRPr="00614E75">
        <w:rPr>
          <w:rFonts w:cs="Times New Roman"/>
          <w:b/>
          <w:bCs/>
        </w:rPr>
        <w:t xml:space="preserve"> </w:t>
      </w:r>
      <w:r>
        <w:t>and a 2 midnight</w:t>
      </w:r>
      <w:r>
        <w:rPr>
          <w:spacing w:val="-27"/>
        </w:rPr>
        <w:t xml:space="preserve"> </w:t>
      </w:r>
      <w:r w:rsidRPr="00595D89">
        <w:rPr>
          <w:rFonts w:cs="Times New Roman"/>
          <w:b/>
          <w:bCs/>
          <w:u w:val="single"/>
        </w:rPr>
        <w:t>benchmark</w:t>
      </w:r>
      <w:r w:rsidRPr="00647C80">
        <w:t>.</w:t>
      </w:r>
      <w:r>
        <w:t xml:space="preserve"> </w:t>
      </w:r>
      <w:r w:rsidRPr="001724AA">
        <w:rPr>
          <w:rFonts w:eastAsia="Calibri" w:cs="Times New Roman"/>
        </w:rPr>
        <w:t xml:space="preserve">Under the 2-midnight presumption, inpatient hospital claims with lengths of </w:t>
      </w:r>
      <w:r w:rsidR="00002279" w:rsidRPr="001724AA">
        <w:rPr>
          <w:rFonts w:eastAsia="Calibri" w:cs="Times New Roman"/>
        </w:rPr>
        <w:t>stay 2</w:t>
      </w:r>
      <w:r w:rsidRPr="001724AA">
        <w:rPr>
          <w:rFonts w:eastAsia="Calibri" w:cs="Times New Roman"/>
        </w:rPr>
        <w:t xml:space="preserve"> midnights </w:t>
      </w:r>
      <w:r w:rsidR="006E164A">
        <w:rPr>
          <w:rFonts w:eastAsia="Calibri" w:cs="Times New Roman"/>
        </w:rPr>
        <w:t xml:space="preserve">or greater </w:t>
      </w:r>
      <w:r w:rsidRPr="001724AA">
        <w:rPr>
          <w:rFonts w:eastAsia="Calibri" w:cs="Times New Roman"/>
        </w:rPr>
        <w:t>after the formal admission following the order are presumed to be appropriate for Medicare Part A payment and are not the focus of medical review efforts, absent evidence of systematic gaming, abuse, or delays in the provision of care in an attempt to qualify for the 2-midnight presumption.</w:t>
      </w:r>
      <w:r>
        <w:rPr>
          <w:rFonts w:eastAsia="Calibri" w:cs="Times New Roman"/>
        </w:rPr>
        <w:t xml:space="preserve"> </w:t>
      </w:r>
      <w:r>
        <w:t>CMS finalized proposed refinements to the 2-midnight policy in the FY 2016 OPPS Final Rule, CMS-1633-F, effective January 1, 2016.</w:t>
      </w:r>
    </w:p>
    <w:p w:rsidR="002E156F" w:rsidRDefault="002E156F" w:rsidP="002E156F">
      <w:pPr>
        <w:pStyle w:val="CommentText"/>
        <w:spacing w:beforeLines="69" w:before="165"/>
        <w:ind w:left="115"/>
        <w:rPr>
          <w:rFonts w:ascii="Times New Roman" w:hAnsi="Times New Roman" w:cs="Times New Roman"/>
          <w:sz w:val="24"/>
          <w:szCs w:val="24"/>
        </w:rPr>
      </w:pPr>
      <w:r w:rsidRPr="009302FA">
        <w:rPr>
          <w:rFonts w:ascii="Times New Roman" w:hAnsi="Times New Roman" w:cs="Times New Roman"/>
          <w:sz w:val="24"/>
          <w:szCs w:val="24"/>
        </w:rPr>
        <w:t xml:space="preserve">Beginning in January 2016, Recovery Auditors may conduct patient status reviews for those providers that </w:t>
      </w:r>
      <w:r>
        <w:rPr>
          <w:rFonts w:ascii="Times New Roman" w:hAnsi="Times New Roman" w:cs="Times New Roman"/>
          <w:sz w:val="24"/>
          <w:szCs w:val="24"/>
        </w:rPr>
        <w:t>have</w:t>
      </w:r>
      <w:r w:rsidRPr="009302FA">
        <w:rPr>
          <w:rFonts w:ascii="Times New Roman" w:hAnsi="Times New Roman" w:cs="Times New Roman"/>
          <w:sz w:val="24"/>
          <w:szCs w:val="24"/>
        </w:rPr>
        <w:t xml:space="preserve"> been referred by the QIO as exhibiting persistent noncompliance with Medicare payment policies, including, but not limited to:  </w:t>
      </w:r>
    </w:p>
    <w:p w:rsidR="002E156F" w:rsidRDefault="002E156F" w:rsidP="002E156F">
      <w:pPr>
        <w:pStyle w:val="CommentText"/>
        <w:numPr>
          <w:ilvl w:val="0"/>
          <w:numId w:val="4"/>
        </w:numPr>
        <w:spacing w:beforeLines="69" w:before="165"/>
        <w:rPr>
          <w:rFonts w:ascii="Times New Roman" w:hAnsi="Times New Roman" w:cs="Times New Roman"/>
          <w:sz w:val="24"/>
          <w:szCs w:val="24"/>
        </w:rPr>
      </w:pPr>
      <w:r>
        <w:rPr>
          <w:rFonts w:ascii="Times New Roman" w:hAnsi="Times New Roman" w:cs="Times New Roman"/>
          <w:sz w:val="24"/>
          <w:szCs w:val="24"/>
        </w:rPr>
        <w:t xml:space="preserve">consistently </w:t>
      </w:r>
      <w:r w:rsidRPr="009302FA">
        <w:rPr>
          <w:rFonts w:ascii="Times New Roman" w:hAnsi="Times New Roman" w:cs="Times New Roman"/>
          <w:sz w:val="24"/>
          <w:szCs w:val="24"/>
        </w:rPr>
        <w:t>failing to adhere to the Two Midnight rule</w:t>
      </w:r>
      <w:r>
        <w:rPr>
          <w:rFonts w:ascii="Times New Roman" w:hAnsi="Times New Roman" w:cs="Times New Roman"/>
          <w:sz w:val="24"/>
          <w:szCs w:val="24"/>
        </w:rPr>
        <w:t>, or</w:t>
      </w:r>
      <w:r w:rsidRPr="009302FA">
        <w:rPr>
          <w:rFonts w:ascii="Times New Roman" w:hAnsi="Times New Roman" w:cs="Times New Roman"/>
          <w:sz w:val="24"/>
          <w:szCs w:val="24"/>
        </w:rPr>
        <w:t xml:space="preserve"> </w:t>
      </w:r>
    </w:p>
    <w:p w:rsidR="002E156F" w:rsidRPr="009302FA" w:rsidRDefault="002E156F" w:rsidP="002E156F">
      <w:pPr>
        <w:pStyle w:val="CommentText"/>
        <w:numPr>
          <w:ilvl w:val="0"/>
          <w:numId w:val="4"/>
        </w:numPr>
        <w:spacing w:beforeLines="69" w:before="165"/>
        <w:rPr>
          <w:rFonts w:ascii="Times New Roman" w:hAnsi="Times New Roman" w:cs="Times New Roman"/>
          <w:sz w:val="24"/>
          <w:szCs w:val="24"/>
        </w:rPr>
      </w:pPr>
      <w:r w:rsidRPr="009302FA">
        <w:rPr>
          <w:rFonts w:ascii="Times New Roman" w:hAnsi="Times New Roman" w:cs="Times New Roman"/>
          <w:sz w:val="24"/>
          <w:szCs w:val="24"/>
        </w:rPr>
        <w:t>failing to improve their performance after QIO educational intervention.</w:t>
      </w:r>
    </w:p>
    <w:p w:rsidR="002E156F" w:rsidRPr="009302FA" w:rsidRDefault="002E156F" w:rsidP="002E156F">
      <w:pPr>
        <w:spacing w:before="5"/>
        <w:rPr>
          <w:rFonts w:ascii="Times New Roman" w:eastAsia="Times New Roman" w:hAnsi="Times New Roman" w:cs="Times New Roman"/>
          <w:sz w:val="24"/>
          <w:szCs w:val="24"/>
        </w:rPr>
      </w:pPr>
    </w:p>
    <w:p w:rsidR="002E156F" w:rsidRDefault="002E156F" w:rsidP="002E156F">
      <w:pPr>
        <w:pStyle w:val="Heading1"/>
        <w:spacing w:before="69"/>
        <w:ind w:left="120" w:right="113"/>
        <w:rPr>
          <w:b w:val="0"/>
          <w:bCs w:val="0"/>
        </w:rPr>
      </w:pPr>
      <w:r>
        <w:rPr>
          <w:u w:val="thick" w:color="000000"/>
        </w:rPr>
        <w:t>Patient Status</w:t>
      </w:r>
      <w:r>
        <w:rPr>
          <w:spacing w:val="-8"/>
          <w:u w:val="thick" w:color="000000"/>
        </w:rPr>
        <w:t xml:space="preserve"> </w:t>
      </w:r>
      <w:r>
        <w:rPr>
          <w:u w:val="thick" w:color="000000"/>
        </w:rPr>
        <w:t>Reviews</w:t>
      </w:r>
    </w:p>
    <w:p w:rsidR="002E156F" w:rsidRDefault="002E156F" w:rsidP="002E156F">
      <w:pPr>
        <w:spacing w:before="7"/>
        <w:rPr>
          <w:rFonts w:ascii="Times New Roman" w:eastAsia="Times New Roman" w:hAnsi="Times New Roman" w:cs="Times New Roman"/>
          <w:b/>
          <w:bCs/>
          <w:sz w:val="17"/>
          <w:szCs w:val="17"/>
        </w:rPr>
      </w:pPr>
    </w:p>
    <w:p w:rsidR="002E156F" w:rsidRDefault="002E156F" w:rsidP="002E156F">
      <w:pPr>
        <w:pStyle w:val="BodyText"/>
        <w:spacing w:before="69"/>
        <w:ind w:left="120" w:right="113"/>
      </w:pPr>
      <w:r>
        <w:t>Throughout this document, the term “patient status reviews” will be used to refer to medical record reviews conducted</w:t>
      </w:r>
      <w:r>
        <w:rPr>
          <w:spacing w:val="-14"/>
        </w:rPr>
        <w:t xml:space="preserve"> </w:t>
      </w:r>
      <w:r>
        <w:t xml:space="preserve">by the QIOs to </w:t>
      </w:r>
      <w:r w:rsidRPr="008D7616">
        <w:t>determine the appropriateness of</w:t>
      </w:r>
      <w:r>
        <w:t xml:space="preserve"> </w:t>
      </w:r>
      <w:r w:rsidRPr="008D7616">
        <w:t>Part A payment for short stay inpatient hospital</w:t>
      </w:r>
      <w:r>
        <w:t xml:space="preserve"> claims (i.e., assessing whether Part A (inpatient) or Part B (outpatient) payment is most appropriate).</w:t>
      </w:r>
    </w:p>
    <w:p w:rsidR="002E156F" w:rsidRDefault="002E156F" w:rsidP="002E156F">
      <w:pPr>
        <w:rPr>
          <w:rFonts w:ascii="Times New Roman" w:eastAsia="Times New Roman" w:hAnsi="Times New Roman" w:cs="Times New Roman"/>
          <w:sz w:val="24"/>
          <w:szCs w:val="24"/>
        </w:rPr>
      </w:pPr>
    </w:p>
    <w:p w:rsidR="002E156F" w:rsidRDefault="002E156F" w:rsidP="002E156F">
      <w:pPr>
        <w:pStyle w:val="BodyText"/>
        <w:ind w:right="113"/>
      </w:pPr>
      <w:r>
        <w:t>On October 1, 2015, QIOs began applying CMS-1599-F when conducting patient status reviews for adjudicated claims that were submitted by acute care inpatient hospital facilities and</w:t>
      </w:r>
      <w:r>
        <w:rPr>
          <w:spacing w:val="-21"/>
        </w:rPr>
        <w:t xml:space="preserve"> </w:t>
      </w:r>
      <w:r>
        <w:t>Long Term Care Hospitals (LTCHs) for dates of admission within the previous 6 months. QIOs will NOT apply</w:t>
      </w:r>
      <w:r>
        <w:rPr>
          <w:spacing w:val="-21"/>
        </w:rPr>
        <w:t xml:space="preserve"> </w:t>
      </w:r>
      <w:r>
        <w:t>these instructions to admissions at Inpatient Rehabilitation Facilities (IRFs) and Critical Access Hospitals (CAHs). IRF patient status reviews</w:t>
      </w:r>
      <w:r>
        <w:rPr>
          <w:spacing w:val="-10"/>
        </w:rPr>
        <w:t xml:space="preserve"> </w:t>
      </w:r>
      <w:r>
        <w:t>are specifically excluded from the 2-midnight inpatient admission and medical review guidelines per</w:t>
      </w:r>
      <w:r>
        <w:rPr>
          <w:spacing w:val="-24"/>
        </w:rPr>
        <w:t xml:space="preserve"> </w:t>
      </w:r>
      <w:r>
        <w:t>CMS-1599-F.</w:t>
      </w:r>
    </w:p>
    <w:p w:rsidR="002E156F" w:rsidRDefault="002E156F" w:rsidP="002E156F">
      <w:pPr>
        <w:rPr>
          <w:rFonts w:ascii="Times New Roman" w:eastAsia="Times New Roman" w:hAnsi="Times New Roman" w:cs="Times New Roman"/>
          <w:sz w:val="24"/>
          <w:szCs w:val="24"/>
        </w:rPr>
      </w:pPr>
    </w:p>
    <w:p w:rsidR="002E156F" w:rsidRDefault="002E156F" w:rsidP="002E156F">
      <w:pPr>
        <w:pStyle w:val="BodyText"/>
        <w:ind w:left="120" w:right="113"/>
      </w:pPr>
      <w:r>
        <w:t>When conducting a patient status review, QIOs</w:t>
      </w:r>
      <w:r>
        <w:rPr>
          <w:spacing w:val="-1"/>
        </w:rPr>
        <w:t xml:space="preserve"> </w:t>
      </w:r>
      <w:r>
        <w:t>will review the medical record to assess the hospital’s compliance with:</w:t>
      </w:r>
    </w:p>
    <w:p w:rsidR="002E156F" w:rsidRDefault="002E156F" w:rsidP="002E156F">
      <w:pPr>
        <w:rPr>
          <w:rFonts w:ascii="Times New Roman" w:eastAsia="Times New Roman" w:hAnsi="Times New Roman" w:cs="Times New Roman"/>
          <w:sz w:val="24"/>
          <w:szCs w:val="24"/>
        </w:rPr>
      </w:pPr>
    </w:p>
    <w:p w:rsidR="002E156F" w:rsidRDefault="002E156F" w:rsidP="002E156F">
      <w:pPr>
        <w:pStyle w:val="ListParagraph"/>
        <w:numPr>
          <w:ilvl w:val="0"/>
          <w:numId w:val="3"/>
        </w:numPr>
        <w:tabs>
          <w:tab w:val="left" w:pos="1200"/>
        </w:tabs>
        <w:ind w:right="113"/>
        <w:rPr>
          <w:rFonts w:ascii="Times New Roman" w:eastAsia="Times New Roman" w:hAnsi="Times New Roman" w:cs="Times New Roman"/>
          <w:sz w:val="24"/>
          <w:szCs w:val="24"/>
        </w:rPr>
      </w:pPr>
      <w:r>
        <w:rPr>
          <w:rFonts w:ascii="Times New Roman"/>
          <w:sz w:val="24"/>
        </w:rPr>
        <w:lastRenderedPageBreak/>
        <w:t>the admission order</w:t>
      </w:r>
      <w:r>
        <w:rPr>
          <w:rFonts w:ascii="Times New Roman"/>
          <w:spacing w:val="-3"/>
          <w:sz w:val="24"/>
        </w:rPr>
        <w:t xml:space="preserve"> </w:t>
      </w:r>
      <w:r>
        <w:rPr>
          <w:rFonts w:ascii="Times New Roman"/>
          <w:sz w:val="24"/>
        </w:rPr>
        <w:t>requirements, and</w:t>
      </w:r>
    </w:p>
    <w:p w:rsidR="002E156F" w:rsidRPr="00940134" w:rsidRDefault="002E156F" w:rsidP="002E156F">
      <w:pPr>
        <w:pStyle w:val="ListParagraph"/>
        <w:numPr>
          <w:ilvl w:val="0"/>
          <w:numId w:val="3"/>
        </w:numPr>
        <w:tabs>
          <w:tab w:val="left" w:pos="1200"/>
        </w:tabs>
        <w:ind w:right="113"/>
        <w:rPr>
          <w:rFonts w:ascii="Times New Roman" w:eastAsia="Times New Roman" w:hAnsi="Times New Roman" w:cs="Times New Roman"/>
          <w:sz w:val="24"/>
          <w:szCs w:val="24"/>
        </w:rPr>
      </w:pPr>
      <w:r w:rsidRPr="00344402">
        <w:rPr>
          <w:rFonts w:ascii="Times New Roman" w:hAnsi="Times New Roman" w:cs="Times New Roman"/>
          <w:sz w:val="24"/>
        </w:rPr>
        <w:t>the 2-midnight</w:t>
      </w:r>
      <w:r w:rsidRPr="00344402">
        <w:rPr>
          <w:rFonts w:ascii="Times New Roman" w:hAnsi="Times New Roman" w:cs="Times New Roman"/>
          <w:spacing w:val="-2"/>
          <w:sz w:val="24"/>
        </w:rPr>
        <w:t xml:space="preserve"> </w:t>
      </w:r>
      <w:r w:rsidRPr="00344402">
        <w:rPr>
          <w:rFonts w:ascii="Times New Roman" w:hAnsi="Times New Roman" w:cs="Times New Roman"/>
          <w:sz w:val="24"/>
        </w:rPr>
        <w:t>benchmark</w:t>
      </w:r>
    </w:p>
    <w:p w:rsidR="00940134" w:rsidRPr="00344402" w:rsidRDefault="00940134" w:rsidP="00940134">
      <w:pPr>
        <w:pStyle w:val="ListParagraph"/>
        <w:tabs>
          <w:tab w:val="left" w:pos="1200"/>
        </w:tabs>
        <w:ind w:left="1200" w:right="113"/>
        <w:rPr>
          <w:rFonts w:ascii="Times New Roman" w:eastAsia="Times New Roman" w:hAnsi="Times New Roman" w:cs="Times New Roman"/>
          <w:sz w:val="24"/>
          <w:szCs w:val="24"/>
        </w:rPr>
      </w:pPr>
    </w:p>
    <w:p w:rsidR="002E156F" w:rsidRDefault="002E156F" w:rsidP="002E156F">
      <w:pPr>
        <w:spacing w:before="5"/>
        <w:rPr>
          <w:rFonts w:ascii="Times New Roman" w:eastAsia="Times New Roman" w:hAnsi="Times New Roman" w:cs="Times New Roman"/>
          <w:sz w:val="24"/>
          <w:szCs w:val="24"/>
        </w:rPr>
      </w:pPr>
    </w:p>
    <w:p w:rsidR="002E156F" w:rsidRDefault="002E156F" w:rsidP="002E156F">
      <w:pPr>
        <w:pStyle w:val="Heading1"/>
        <w:numPr>
          <w:ilvl w:val="0"/>
          <w:numId w:val="2"/>
        </w:numPr>
        <w:tabs>
          <w:tab w:val="left" w:pos="840"/>
        </w:tabs>
        <w:ind w:right="113"/>
        <w:rPr>
          <w:b w:val="0"/>
          <w:bCs w:val="0"/>
        </w:rPr>
      </w:pPr>
      <w:r>
        <w:rPr>
          <w:noProof/>
        </w:rPr>
        <mc:AlternateContent>
          <mc:Choice Requires="wpg">
            <w:drawing>
              <wp:anchor distT="0" distB="0" distL="114300" distR="114300" simplePos="0" relativeHeight="251659264" behindDoc="1" locked="0" layoutInCell="1" allowOverlap="1" wp14:anchorId="3D426CE6" wp14:editId="385894E3">
                <wp:simplePos x="0" y="0"/>
                <wp:positionH relativeFrom="page">
                  <wp:posOffset>457200</wp:posOffset>
                </wp:positionH>
                <wp:positionV relativeFrom="paragraph">
                  <wp:posOffset>166370</wp:posOffset>
                </wp:positionV>
                <wp:extent cx="6346190" cy="1270"/>
                <wp:effectExtent l="9525" t="13970" r="16510" b="1333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1270"/>
                          <a:chOff x="720" y="262"/>
                          <a:chExt cx="9994" cy="2"/>
                        </a:xfrm>
                      </wpg:grpSpPr>
                      <wps:wsp>
                        <wps:cNvPr id="14" name="Freeform 5"/>
                        <wps:cNvSpPr>
                          <a:spLocks/>
                        </wps:cNvSpPr>
                        <wps:spPr bwMode="auto">
                          <a:xfrm>
                            <a:off x="720" y="262"/>
                            <a:ext cx="9994" cy="2"/>
                          </a:xfrm>
                          <a:custGeom>
                            <a:avLst/>
                            <a:gdLst>
                              <a:gd name="T0" fmla="+- 0 720 720"/>
                              <a:gd name="T1" fmla="*/ T0 w 9994"/>
                              <a:gd name="T2" fmla="+- 0 10714 720"/>
                              <a:gd name="T3" fmla="*/ T2 w 9994"/>
                            </a:gdLst>
                            <a:ahLst/>
                            <a:cxnLst>
                              <a:cxn ang="0">
                                <a:pos x="T1" y="0"/>
                              </a:cxn>
                              <a:cxn ang="0">
                                <a:pos x="T3" y="0"/>
                              </a:cxn>
                            </a:cxnLst>
                            <a:rect l="0" t="0" r="r" b="b"/>
                            <a:pathLst>
                              <a:path w="9994">
                                <a:moveTo>
                                  <a:pt x="0" y="0"/>
                                </a:moveTo>
                                <a:lnTo>
                                  <a:pt x="9994"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pt;margin-top:13.1pt;width:499.7pt;height:.1pt;z-index:-251657216;mso-position-horizontal-relative:page" coordorigin="720,262" coordsize="9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">
                <v:shape id="Freeform 5" o:spid="_x0000_s1027" style="position:absolute;left:720;top:262;width:9994;height:2;visibility:visible;mso-wrap-style:square;v-text-anchor:top" coordsize="99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J0j8IA&#10;AADbAAAADwAAAGRycy9kb3ducmV2LnhtbERPTYvCMBC9C/sfwix4EU1XRbQaRQXB04quHnobmrGt&#10;20xKE2v99xtB2Ns83ucsVq0pRUO1Kywr+BpEIIhTqwvOFJx/dv0pCOeRNZaWScGTHKyWH50Fxto+&#10;+EjNyWcihLCLUUHufRVL6dKcDLqBrYgDd7W1QR9gnUld4yOEm1IOo2giDRYcGnKsaJtT+nu6GwXH&#10;w+1Ku+SSrGc8ujS9TfI9nlRKdT/b9RyEp9b/i9/uvQ7zx/D6JRw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YnSPwgAAANsAAAAPAAAAAAAAAAAAAAAAAJgCAABkcnMvZG93&#10;bnJldi54bWxQSwUGAAAAAAQABAD1AAAAhwMAAAAA&#10;" path="m,l9994,e" filled="f" strokeweight="1.2pt">
                  <v:path arrowok="t" o:connecttype="custom" o:connectlocs="0,0;9994,0" o:connectangles="0,0"/>
                </v:shape>
                <w10:wrap anchorx="page"/>
              </v:group>
            </w:pict>
          </mc:Fallback>
        </mc:AlternateContent>
      </w:r>
      <w:r>
        <w:t>Reviewing Hospital Claims for Inpatient Status: Inpatient Admission Order</w:t>
      </w:r>
      <w:r>
        <w:rPr>
          <w:spacing w:val="-16"/>
        </w:rPr>
        <w:t xml:space="preserve"> </w:t>
      </w:r>
      <w:r>
        <w:t>Requirements</w:t>
      </w:r>
    </w:p>
    <w:p w:rsidR="002E156F" w:rsidRDefault="002E156F" w:rsidP="002E156F">
      <w:pPr>
        <w:spacing w:before="7"/>
        <w:rPr>
          <w:rFonts w:ascii="Times New Roman" w:eastAsia="Times New Roman" w:hAnsi="Times New Roman" w:cs="Times New Roman"/>
          <w:b/>
          <w:bCs/>
          <w:sz w:val="17"/>
          <w:szCs w:val="17"/>
        </w:rPr>
      </w:pPr>
    </w:p>
    <w:p w:rsidR="002E156F" w:rsidRDefault="002E156F" w:rsidP="002E156F">
      <w:pPr>
        <w:pStyle w:val="BodyText"/>
        <w:spacing w:before="69"/>
        <w:ind w:right="113"/>
      </w:pPr>
      <w:r>
        <w:t>When conducting patient status reviews,</w:t>
      </w:r>
      <w:r>
        <w:rPr>
          <w:spacing w:val="-17"/>
        </w:rPr>
        <w:t xml:space="preserve"> </w:t>
      </w:r>
      <w:r>
        <w:t xml:space="preserve">QIOs will assess whether the inpatient admission order requirements were met. While the </w:t>
      </w:r>
      <w:r w:rsidRPr="001724AA">
        <w:t xml:space="preserve">inpatient admission order </w:t>
      </w:r>
      <w:r>
        <w:t xml:space="preserve">continues to be required for all admissions, effective January 1, 2015, the </w:t>
      </w:r>
      <w:r w:rsidRPr="001724AA">
        <w:t xml:space="preserve">physician certification </w:t>
      </w:r>
      <w:r>
        <w:t xml:space="preserve">is </w:t>
      </w:r>
      <w:r w:rsidRPr="001724AA">
        <w:t>only required for outlier cases and long stay cases of 20 days or more</w:t>
      </w:r>
      <w:r>
        <w:t xml:space="preserve"> under</w:t>
      </w:r>
      <w:r w:rsidRPr="001724AA">
        <w:t xml:space="preserve"> the Inpat</w:t>
      </w:r>
      <w:r>
        <w:t xml:space="preserve">ient Prospective Payment System. </w:t>
      </w:r>
    </w:p>
    <w:p w:rsidR="002E156F" w:rsidRDefault="002E156F" w:rsidP="002E156F">
      <w:pPr>
        <w:pStyle w:val="BodyText"/>
        <w:spacing w:before="69"/>
        <w:ind w:right="113"/>
      </w:pPr>
    </w:p>
    <w:p w:rsidR="002E156F" w:rsidRPr="00BE7AE3" w:rsidRDefault="002E156F" w:rsidP="002E156F">
      <w:pPr>
        <w:pStyle w:val="ListParagraph"/>
        <w:numPr>
          <w:ilvl w:val="0"/>
          <w:numId w:val="5"/>
        </w:numPr>
        <w:spacing w:before="5"/>
        <w:rPr>
          <w:rFonts w:ascii="Times New Roman" w:eastAsia="Times New Roman" w:hAnsi="Times New Roman" w:cs="Times New Roman"/>
          <w:b/>
          <w:sz w:val="24"/>
          <w:szCs w:val="24"/>
        </w:rPr>
      </w:pPr>
      <w:r w:rsidRPr="00BE7AE3">
        <w:rPr>
          <w:rFonts w:ascii="Times New Roman" w:eastAsia="Times New Roman" w:hAnsi="Times New Roman" w:cs="Times New Roman"/>
          <w:b/>
          <w:sz w:val="24"/>
          <w:szCs w:val="24"/>
        </w:rPr>
        <w:t>Claims Eligible for Review</w:t>
      </w:r>
    </w:p>
    <w:p w:rsidR="002E156F" w:rsidRDefault="002E156F" w:rsidP="002E156F">
      <w:pPr>
        <w:spacing w:before="5"/>
        <w:ind w:left="720"/>
        <w:rPr>
          <w:rFonts w:ascii="Times New Roman" w:eastAsia="Times New Roman" w:hAnsi="Times New Roman" w:cs="Times New Roman"/>
          <w:sz w:val="24"/>
          <w:szCs w:val="24"/>
        </w:rPr>
      </w:pPr>
    </w:p>
    <w:p w:rsidR="002E156F" w:rsidRPr="00E83FF3" w:rsidRDefault="002E156F" w:rsidP="002E156F">
      <w:pPr>
        <w:spacing w:before="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A.1. </w:t>
      </w:r>
      <w:r w:rsidRPr="00E83FF3">
        <w:rPr>
          <w:rFonts w:ascii="Times New Roman" w:eastAsia="Times New Roman" w:hAnsi="Times New Roman" w:cs="Times New Roman"/>
          <w:sz w:val="24"/>
          <w:szCs w:val="24"/>
        </w:rPr>
        <w:t xml:space="preserve">BFCC-QIOs will conduct patient status reviews on a sample of inpatient hospital Part A claims for appropriateness of inpatient admission under the 2 midnight rule for acute care inpatient hospitals, long-term care hospitals, and inpatient psychiatric facilities impacted by CMS-1599-F.  </w:t>
      </w:r>
    </w:p>
    <w:p w:rsidR="002E156F" w:rsidRDefault="002E156F" w:rsidP="002E156F">
      <w:pPr>
        <w:spacing w:before="5"/>
        <w:ind w:left="720"/>
        <w:rPr>
          <w:rFonts w:ascii="Times New Roman" w:eastAsia="Times New Roman" w:hAnsi="Times New Roman" w:cs="Times New Roman"/>
          <w:sz w:val="24"/>
          <w:szCs w:val="24"/>
        </w:rPr>
      </w:pPr>
    </w:p>
    <w:p w:rsidR="002E156F" w:rsidRDefault="002E156F" w:rsidP="002E156F">
      <w:pPr>
        <w:spacing w:before="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A.2. </w:t>
      </w:r>
      <w:r w:rsidRPr="00E83FF3">
        <w:rPr>
          <w:rFonts w:ascii="Times New Roman" w:eastAsia="Times New Roman" w:hAnsi="Times New Roman" w:cs="Times New Roman"/>
          <w:sz w:val="24"/>
          <w:szCs w:val="24"/>
        </w:rPr>
        <w:t xml:space="preserve">Twice a </w:t>
      </w:r>
      <w:r>
        <w:rPr>
          <w:rFonts w:ascii="Times New Roman" w:eastAsia="Times New Roman" w:hAnsi="Times New Roman" w:cs="Times New Roman"/>
          <w:sz w:val="24"/>
          <w:szCs w:val="24"/>
        </w:rPr>
        <w:t xml:space="preserve">calendar </w:t>
      </w:r>
      <w:r w:rsidRPr="00E83FF3">
        <w:rPr>
          <w:rFonts w:ascii="Times New Roman" w:eastAsia="Times New Roman" w:hAnsi="Times New Roman" w:cs="Times New Roman"/>
          <w:sz w:val="24"/>
          <w:szCs w:val="24"/>
        </w:rPr>
        <w:t>year</w:t>
      </w:r>
      <w:r>
        <w:rPr>
          <w:rFonts w:ascii="Times New Roman" w:eastAsia="Times New Roman" w:hAnsi="Times New Roman" w:cs="Times New Roman"/>
          <w:sz w:val="24"/>
          <w:szCs w:val="24"/>
        </w:rPr>
        <w:t>,</w:t>
      </w:r>
      <w:r w:rsidRPr="00E83FF3">
        <w:rPr>
          <w:rFonts w:ascii="Times New Roman" w:eastAsia="Times New Roman" w:hAnsi="Times New Roman" w:cs="Times New Roman"/>
          <w:sz w:val="24"/>
          <w:szCs w:val="24"/>
        </w:rPr>
        <w:t xml:space="preserve"> the BFCC-QIO</w:t>
      </w:r>
      <w:r>
        <w:rPr>
          <w:rFonts w:ascii="Times New Roman" w:eastAsia="Times New Roman" w:hAnsi="Times New Roman" w:cs="Times New Roman"/>
          <w:sz w:val="24"/>
          <w:szCs w:val="24"/>
        </w:rPr>
        <w:t>s</w:t>
      </w:r>
      <w:r w:rsidRPr="00E83FF3">
        <w:rPr>
          <w:rFonts w:ascii="Times New Roman" w:eastAsia="Times New Roman" w:hAnsi="Times New Roman" w:cs="Times New Roman"/>
          <w:sz w:val="24"/>
          <w:szCs w:val="24"/>
        </w:rPr>
        <w:t xml:space="preserve"> will conduct patient status reviews using a provider sample from claims paid with</w:t>
      </w:r>
      <w:r>
        <w:rPr>
          <w:rFonts w:ascii="Times New Roman" w:eastAsia="Times New Roman" w:hAnsi="Times New Roman" w:cs="Times New Roman"/>
          <w:sz w:val="24"/>
          <w:szCs w:val="24"/>
        </w:rPr>
        <w:t>in the previous 6 months.</w:t>
      </w:r>
    </w:p>
    <w:p w:rsidR="002E156F" w:rsidRDefault="002E156F" w:rsidP="002E156F">
      <w:pPr>
        <w:spacing w:before="5"/>
        <w:ind w:left="720"/>
        <w:rPr>
          <w:rFonts w:ascii="Times New Roman" w:eastAsia="Times New Roman" w:hAnsi="Times New Roman" w:cs="Times New Roman"/>
          <w:sz w:val="24"/>
          <w:szCs w:val="24"/>
        </w:rPr>
      </w:pPr>
    </w:p>
    <w:p w:rsidR="002E156F" w:rsidRPr="00BE7AE3" w:rsidRDefault="002E156F" w:rsidP="002E156F">
      <w:pPr>
        <w:pStyle w:val="ListParagraph"/>
        <w:numPr>
          <w:ilvl w:val="0"/>
          <w:numId w:val="5"/>
        </w:numPr>
        <w:spacing w:before="5"/>
        <w:rPr>
          <w:rFonts w:ascii="Times New Roman" w:eastAsia="Times New Roman" w:hAnsi="Times New Roman" w:cs="Times New Roman"/>
          <w:b/>
          <w:sz w:val="24"/>
          <w:szCs w:val="24"/>
        </w:rPr>
      </w:pPr>
      <w:r w:rsidRPr="00BE7AE3">
        <w:rPr>
          <w:rFonts w:ascii="Times New Roman" w:eastAsia="Times New Roman" w:hAnsi="Times New Roman" w:cs="Times New Roman"/>
          <w:b/>
          <w:sz w:val="24"/>
          <w:szCs w:val="24"/>
        </w:rPr>
        <w:t>Medical Records</w:t>
      </w:r>
    </w:p>
    <w:p w:rsidR="002E156F" w:rsidRDefault="002E156F" w:rsidP="002E156F">
      <w:pPr>
        <w:spacing w:before="5"/>
        <w:ind w:left="720"/>
        <w:rPr>
          <w:rFonts w:ascii="Times New Roman" w:eastAsia="Times New Roman" w:hAnsi="Times New Roman" w:cs="Times New Roman"/>
          <w:sz w:val="24"/>
          <w:szCs w:val="24"/>
        </w:rPr>
      </w:pPr>
    </w:p>
    <w:p w:rsidR="002E156F" w:rsidRDefault="002E156F" w:rsidP="002E156F">
      <w:pPr>
        <w:spacing w:before="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B.1. BFCC-QIOs will </w:t>
      </w:r>
      <w:r w:rsidRPr="00CC6AE2">
        <w:rPr>
          <w:rFonts w:ascii="Times New Roman" w:eastAsia="Times New Roman" w:hAnsi="Times New Roman" w:cs="Times New Roman"/>
          <w:sz w:val="24"/>
          <w:szCs w:val="24"/>
        </w:rPr>
        <w:t xml:space="preserve">request a minimum of </w:t>
      </w:r>
      <w:r>
        <w:rPr>
          <w:rFonts w:ascii="Times New Roman" w:eastAsia="Times New Roman" w:hAnsi="Times New Roman" w:cs="Times New Roman"/>
          <w:sz w:val="24"/>
          <w:szCs w:val="24"/>
        </w:rPr>
        <w:t>1</w:t>
      </w:r>
      <w:r w:rsidRPr="00CC6AE2">
        <w:rPr>
          <w:rFonts w:ascii="Times New Roman" w:eastAsia="Times New Roman" w:hAnsi="Times New Roman" w:cs="Times New Roman"/>
          <w:sz w:val="24"/>
          <w:szCs w:val="24"/>
        </w:rPr>
        <w:t xml:space="preserve">0 records in a </w:t>
      </w:r>
      <w:r>
        <w:rPr>
          <w:rFonts w:ascii="Times New Roman" w:eastAsia="Times New Roman" w:hAnsi="Times New Roman" w:cs="Times New Roman"/>
          <w:sz w:val="24"/>
          <w:szCs w:val="24"/>
        </w:rPr>
        <w:t>30-45</w:t>
      </w:r>
      <w:r w:rsidRPr="00CC6AE2">
        <w:rPr>
          <w:rFonts w:ascii="Times New Roman" w:eastAsia="Times New Roman" w:hAnsi="Times New Roman" w:cs="Times New Roman"/>
          <w:sz w:val="24"/>
          <w:szCs w:val="24"/>
        </w:rPr>
        <w:t xml:space="preserve">-day </w:t>
      </w:r>
      <w:r>
        <w:rPr>
          <w:rFonts w:ascii="Times New Roman" w:eastAsia="Times New Roman" w:hAnsi="Times New Roman" w:cs="Times New Roman"/>
          <w:sz w:val="24"/>
          <w:szCs w:val="24"/>
        </w:rPr>
        <w:t xml:space="preserve">time </w:t>
      </w:r>
      <w:r w:rsidRPr="00CC6AE2">
        <w:rPr>
          <w:rFonts w:ascii="Times New Roman" w:eastAsia="Times New Roman" w:hAnsi="Times New Roman" w:cs="Times New Roman"/>
          <w:sz w:val="24"/>
          <w:szCs w:val="24"/>
        </w:rPr>
        <w:t xml:space="preserve">period from hospitals. The maximum number of record requests per </w:t>
      </w:r>
      <w:r>
        <w:rPr>
          <w:rFonts w:ascii="Times New Roman" w:eastAsia="Times New Roman" w:hAnsi="Times New Roman" w:cs="Times New Roman"/>
          <w:sz w:val="24"/>
          <w:szCs w:val="24"/>
        </w:rPr>
        <w:t>30</w:t>
      </w:r>
      <w:r w:rsidRPr="00CC6AE2">
        <w:rPr>
          <w:rFonts w:ascii="Times New Roman" w:eastAsia="Times New Roman" w:hAnsi="Times New Roman" w:cs="Times New Roman"/>
          <w:sz w:val="24"/>
          <w:szCs w:val="24"/>
        </w:rPr>
        <w:t xml:space="preserve"> days </w:t>
      </w:r>
      <w:r>
        <w:rPr>
          <w:rFonts w:ascii="Times New Roman" w:eastAsia="Times New Roman" w:hAnsi="Times New Roman" w:cs="Times New Roman"/>
          <w:sz w:val="24"/>
          <w:szCs w:val="24"/>
        </w:rPr>
        <w:t>will be 30 records.</w:t>
      </w:r>
    </w:p>
    <w:p w:rsidR="002E156F" w:rsidRDefault="002E156F" w:rsidP="002E156F">
      <w:pPr>
        <w:spacing w:before="5"/>
        <w:ind w:left="360" w:firstLine="360"/>
        <w:rPr>
          <w:rFonts w:ascii="Times New Roman" w:eastAsia="Times New Roman" w:hAnsi="Times New Roman" w:cs="Times New Roman"/>
          <w:sz w:val="24"/>
          <w:szCs w:val="24"/>
        </w:rPr>
      </w:pPr>
    </w:p>
    <w:p w:rsidR="002E156F" w:rsidRDefault="002E156F" w:rsidP="002E156F">
      <w:pPr>
        <w:spacing w:before="5"/>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B.2. A hospital’s failure to provide the requested medical record for the identified claim(s) to the BFCC-QIO within </w:t>
      </w:r>
      <w:r w:rsidRPr="002C2795">
        <w:rPr>
          <w:rFonts w:ascii="Times New Roman" w:eastAsia="Times New Roman" w:hAnsi="Times New Roman" w:cs="Times New Roman"/>
          <w:sz w:val="24"/>
          <w:szCs w:val="24"/>
        </w:rPr>
        <w:t>30-45 days</w:t>
      </w:r>
      <w:r>
        <w:rPr>
          <w:rFonts w:ascii="Times New Roman" w:eastAsia="Times New Roman" w:hAnsi="Times New Roman" w:cs="Times New Roman"/>
          <w:sz w:val="24"/>
          <w:szCs w:val="24"/>
        </w:rPr>
        <w:t xml:space="preserve"> of the request may result in the BFCC-QIO reopening the initial determination on the claim and a subsequent denial of payment on the claim(s) selected for review.</w:t>
      </w:r>
    </w:p>
    <w:p w:rsidR="002E156F" w:rsidRDefault="002E156F" w:rsidP="002E156F">
      <w:pPr>
        <w:pStyle w:val="ListParagraph"/>
        <w:spacing w:before="5"/>
        <w:ind w:left="1440"/>
        <w:rPr>
          <w:rFonts w:ascii="Times New Roman" w:eastAsia="Times New Roman" w:hAnsi="Times New Roman" w:cs="Times New Roman"/>
          <w:sz w:val="24"/>
          <w:szCs w:val="24"/>
        </w:rPr>
      </w:pPr>
    </w:p>
    <w:p w:rsidR="002E156F" w:rsidRPr="00B2129F" w:rsidRDefault="002E156F" w:rsidP="002E156F">
      <w:pPr>
        <w:pStyle w:val="ListParagraph"/>
        <w:numPr>
          <w:ilvl w:val="0"/>
          <w:numId w:val="5"/>
        </w:numPr>
        <w:spacing w:before="5"/>
        <w:rPr>
          <w:rFonts w:ascii="Times New Roman" w:eastAsia="Times New Roman" w:hAnsi="Times New Roman" w:cs="Times New Roman"/>
          <w:b/>
          <w:sz w:val="24"/>
          <w:szCs w:val="24"/>
        </w:rPr>
      </w:pPr>
      <w:r w:rsidRPr="00B2129F">
        <w:rPr>
          <w:rFonts w:ascii="Times New Roman" w:eastAsia="Times New Roman" w:hAnsi="Times New Roman" w:cs="Times New Roman"/>
          <w:b/>
          <w:sz w:val="24"/>
          <w:szCs w:val="24"/>
        </w:rPr>
        <w:t>Provider Education</w:t>
      </w:r>
    </w:p>
    <w:p w:rsidR="002E156F" w:rsidRDefault="002E156F" w:rsidP="002E156F">
      <w:pPr>
        <w:spacing w:before="5"/>
        <w:ind w:left="720"/>
        <w:rPr>
          <w:rFonts w:ascii="Times New Roman" w:hAnsi="Times New Roman"/>
          <w:sz w:val="24"/>
          <w:szCs w:val="24"/>
        </w:rPr>
      </w:pPr>
      <w:r w:rsidRPr="007C1292">
        <w:rPr>
          <w:rFonts w:ascii="Times New Roman" w:hAnsi="Times New Roman"/>
          <w:sz w:val="24"/>
          <w:szCs w:val="24"/>
        </w:rPr>
        <w:t xml:space="preserve">BFCC-QIOs shall rate and stratify providers for education and corrective action based upon the results of the completed </w:t>
      </w:r>
      <w:r w:rsidRPr="006A2C2A">
        <w:rPr>
          <w:rFonts w:ascii="Times New Roman" w:hAnsi="Times New Roman"/>
          <w:sz w:val="24"/>
          <w:szCs w:val="24"/>
        </w:rPr>
        <w:t xml:space="preserve">initial patient status </w:t>
      </w:r>
      <w:r w:rsidRPr="007C1292">
        <w:rPr>
          <w:rFonts w:ascii="Times New Roman" w:hAnsi="Times New Roman"/>
          <w:sz w:val="24"/>
          <w:szCs w:val="24"/>
        </w:rPr>
        <w:t>claim review.</w:t>
      </w:r>
    </w:p>
    <w:p w:rsidR="002E156F" w:rsidRDefault="002E156F" w:rsidP="002E156F">
      <w:pPr>
        <w:spacing w:before="5"/>
        <w:ind w:left="720"/>
        <w:rPr>
          <w:rFonts w:ascii="Times New Roman" w:eastAsia="Times New Roman" w:hAnsi="Times New Roman" w:cs="Times New Roman"/>
          <w:sz w:val="24"/>
          <w:szCs w:val="24"/>
        </w:rPr>
      </w:pPr>
    </w:p>
    <w:p w:rsidR="002E156F" w:rsidRPr="007C1292" w:rsidRDefault="002E156F" w:rsidP="002E156F">
      <w:pPr>
        <w:pStyle w:val="ListParagraph"/>
        <w:widowControl/>
        <w:numPr>
          <w:ilvl w:val="1"/>
          <w:numId w:val="6"/>
        </w:numPr>
        <w:contextualSpacing/>
        <w:rPr>
          <w:rFonts w:ascii="Times New Roman" w:hAnsi="Times New Roman"/>
          <w:sz w:val="24"/>
          <w:szCs w:val="24"/>
          <w:u w:val="single"/>
        </w:rPr>
      </w:pPr>
      <w:r>
        <w:rPr>
          <w:rFonts w:ascii="Times New Roman" w:eastAsia="Times New Roman" w:hAnsi="Times New Roman" w:cs="Times New Roman"/>
          <w:sz w:val="24"/>
          <w:szCs w:val="24"/>
        </w:rPr>
        <w:t xml:space="preserve">C.1. </w:t>
      </w:r>
      <w:r w:rsidRPr="007C1292">
        <w:rPr>
          <w:rFonts w:ascii="Times New Roman" w:hAnsi="Times New Roman"/>
          <w:sz w:val="24"/>
          <w:szCs w:val="24"/>
          <w:u w:val="single"/>
        </w:rPr>
        <w:t>Provider Results Letters</w:t>
      </w:r>
    </w:p>
    <w:p w:rsidR="002E156F" w:rsidRPr="007C1292" w:rsidRDefault="002E156F" w:rsidP="002E156F">
      <w:pPr>
        <w:pStyle w:val="ListParagraph"/>
        <w:widowControl/>
        <w:numPr>
          <w:ilvl w:val="2"/>
          <w:numId w:val="6"/>
        </w:numPr>
        <w:ind w:hanging="360"/>
        <w:contextualSpacing/>
        <w:rPr>
          <w:rFonts w:ascii="Times New Roman" w:hAnsi="Times New Roman"/>
          <w:sz w:val="24"/>
          <w:szCs w:val="24"/>
        </w:rPr>
      </w:pPr>
      <w:r w:rsidRPr="007C1292">
        <w:rPr>
          <w:rFonts w:ascii="Times New Roman" w:hAnsi="Times New Roman"/>
          <w:sz w:val="24"/>
          <w:szCs w:val="24"/>
        </w:rPr>
        <w:t xml:space="preserve">The BFCC-QIO shall develop a detailed results letter for all providers after the completion of the </w:t>
      </w:r>
      <w:r w:rsidRPr="006A2C2A">
        <w:rPr>
          <w:rFonts w:ascii="Times New Roman" w:hAnsi="Times New Roman"/>
          <w:sz w:val="24"/>
          <w:szCs w:val="24"/>
        </w:rPr>
        <w:t xml:space="preserve">initial patient status </w:t>
      </w:r>
      <w:r>
        <w:rPr>
          <w:rFonts w:ascii="Times New Roman" w:hAnsi="Times New Roman"/>
          <w:sz w:val="24"/>
          <w:szCs w:val="24"/>
        </w:rPr>
        <w:t xml:space="preserve">claim </w:t>
      </w:r>
      <w:r w:rsidRPr="007C1292">
        <w:rPr>
          <w:rFonts w:ascii="Times New Roman" w:hAnsi="Times New Roman"/>
          <w:sz w:val="24"/>
          <w:szCs w:val="24"/>
        </w:rPr>
        <w:t>review.</w:t>
      </w:r>
    </w:p>
    <w:p w:rsidR="002E156F" w:rsidRPr="007C1292" w:rsidRDefault="002E156F" w:rsidP="002E156F">
      <w:pPr>
        <w:pStyle w:val="ListParagraph"/>
        <w:widowControl/>
        <w:numPr>
          <w:ilvl w:val="2"/>
          <w:numId w:val="6"/>
        </w:numPr>
        <w:ind w:hanging="360"/>
        <w:contextualSpacing/>
        <w:rPr>
          <w:rFonts w:ascii="Times New Roman" w:hAnsi="Times New Roman"/>
          <w:sz w:val="24"/>
          <w:szCs w:val="24"/>
        </w:rPr>
      </w:pPr>
      <w:r w:rsidRPr="007C1292">
        <w:rPr>
          <w:rFonts w:ascii="Times New Roman" w:hAnsi="Times New Roman"/>
          <w:sz w:val="24"/>
          <w:szCs w:val="24"/>
        </w:rPr>
        <w:t xml:space="preserve">CMS minimally expects detailed results letters to include individualized, claim-by-claim denial rationales and encourages the BFCC-QIO to include the written clinical details that are to be discussed during any 1:1 telephonic education.  </w:t>
      </w:r>
    </w:p>
    <w:p w:rsidR="002E156F" w:rsidRPr="007C1292" w:rsidRDefault="002E156F" w:rsidP="002E156F">
      <w:pPr>
        <w:pStyle w:val="ListParagraph"/>
        <w:widowControl/>
        <w:numPr>
          <w:ilvl w:val="2"/>
          <w:numId w:val="6"/>
        </w:numPr>
        <w:ind w:hanging="360"/>
        <w:contextualSpacing/>
        <w:rPr>
          <w:rFonts w:ascii="Times New Roman" w:hAnsi="Times New Roman"/>
          <w:sz w:val="24"/>
          <w:szCs w:val="24"/>
        </w:rPr>
      </w:pPr>
      <w:r w:rsidRPr="007C1292">
        <w:rPr>
          <w:rFonts w:ascii="Times New Roman" w:hAnsi="Times New Roman"/>
          <w:sz w:val="24"/>
          <w:szCs w:val="24"/>
        </w:rPr>
        <w:t xml:space="preserve">The letter shall include a specific phone number and/or point of contact, clearly indicated on the face of the letter for providers to request or schedule </w:t>
      </w:r>
      <w:r>
        <w:rPr>
          <w:rFonts w:ascii="Times New Roman" w:hAnsi="Times New Roman"/>
          <w:sz w:val="24"/>
          <w:szCs w:val="24"/>
        </w:rPr>
        <w:t xml:space="preserve">a provider </w:t>
      </w:r>
      <w:r w:rsidRPr="007C1292">
        <w:rPr>
          <w:rFonts w:ascii="Times New Roman" w:hAnsi="Times New Roman"/>
          <w:sz w:val="24"/>
          <w:szCs w:val="24"/>
        </w:rPr>
        <w:t>education</w:t>
      </w:r>
      <w:r>
        <w:rPr>
          <w:rFonts w:ascii="Times New Roman" w:hAnsi="Times New Roman"/>
          <w:sz w:val="24"/>
          <w:szCs w:val="24"/>
        </w:rPr>
        <w:t xml:space="preserve"> teleconference</w:t>
      </w:r>
      <w:r w:rsidRPr="007C1292">
        <w:rPr>
          <w:rFonts w:ascii="Times New Roman" w:hAnsi="Times New Roman"/>
          <w:sz w:val="24"/>
          <w:szCs w:val="24"/>
        </w:rPr>
        <w:t xml:space="preserve">. </w:t>
      </w:r>
    </w:p>
    <w:p w:rsidR="002E156F" w:rsidRPr="007C1292" w:rsidRDefault="002E156F" w:rsidP="002E156F">
      <w:pPr>
        <w:pStyle w:val="ListParagraph"/>
        <w:widowControl/>
        <w:numPr>
          <w:ilvl w:val="2"/>
          <w:numId w:val="6"/>
        </w:numPr>
        <w:ind w:hanging="360"/>
        <w:contextualSpacing/>
        <w:rPr>
          <w:rFonts w:ascii="Times New Roman" w:hAnsi="Times New Roman"/>
          <w:sz w:val="24"/>
          <w:szCs w:val="24"/>
        </w:rPr>
      </w:pPr>
      <w:r>
        <w:rPr>
          <w:rFonts w:ascii="Times New Roman" w:hAnsi="Times New Roman"/>
          <w:sz w:val="24"/>
          <w:szCs w:val="24"/>
        </w:rPr>
        <w:t>CMS will approve a letter template for the BFCC-QIOs to use to share the provider’s results.</w:t>
      </w:r>
    </w:p>
    <w:p w:rsidR="002E156F" w:rsidRPr="007C1292" w:rsidRDefault="002E156F" w:rsidP="002E156F">
      <w:pPr>
        <w:rPr>
          <w:rFonts w:ascii="Times New Roman" w:hAnsi="Times New Roman"/>
          <w:sz w:val="24"/>
          <w:szCs w:val="24"/>
        </w:rPr>
      </w:pPr>
    </w:p>
    <w:p w:rsidR="002E156F" w:rsidRPr="007C1292" w:rsidRDefault="002E156F" w:rsidP="002E156F">
      <w:pPr>
        <w:pStyle w:val="ListParagraph"/>
        <w:widowControl/>
        <w:numPr>
          <w:ilvl w:val="1"/>
          <w:numId w:val="6"/>
        </w:numPr>
        <w:contextualSpacing/>
        <w:rPr>
          <w:rFonts w:ascii="Times New Roman" w:hAnsi="Times New Roman"/>
          <w:sz w:val="24"/>
          <w:szCs w:val="24"/>
          <w:u w:val="single"/>
        </w:rPr>
      </w:pPr>
      <w:r w:rsidRPr="007C1292">
        <w:rPr>
          <w:rFonts w:ascii="Times New Roman" w:hAnsi="Times New Roman"/>
          <w:sz w:val="24"/>
          <w:szCs w:val="24"/>
          <w:u w:val="single"/>
        </w:rPr>
        <w:t>1 on 1 Provider Education</w:t>
      </w:r>
    </w:p>
    <w:p w:rsidR="002E156F" w:rsidRPr="007C1292" w:rsidRDefault="002E156F" w:rsidP="002E156F">
      <w:pPr>
        <w:pStyle w:val="ListParagraph"/>
        <w:widowControl/>
        <w:numPr>
          <w:ilvl w:val="2"/>
          <w:numId w:val="6"/>
        </w:numPr>
        <w:ind w:hanging="360"/>
        <w:contextualSpacing/>
        <w:rPr>
          <w:rFonts w:ascii="Times New Roman" w:hAnsi="Times New Roman"/>
          <w:sz w:val="24"/>
          <w:szCs w:val="24"/>
        </w:rPr>
      </w:pPr>
      <w:r w:rsidRPr="007C1292">
        <w:rPr>
          <w:rFonts w:ascii="Times New Roman" w:hAnsi="Times New Roman"/>
          <w:sz w:val="24"/>
          <w:szCs w:val="24"/>
        </w:rPr>
        <w:t xml:space="preserve">The </w:t>
      </w:r>
      <w:r>
        <w:rPr>
          <w:rFonts w:ascii="Times New Roman" w:hAnsi="Times New Roman"/>
          <w:sz w:val="24"/>
          <w:szCs w:val="24"/>
        </w:rPr>
        <w:t>1 on 1 (</w:t>
      </w:r>
      <w:r w:rsidRPr="007C1292">
        <w:rPr>
          <w:rFonts w:ascii="Times New Roman" w:hAnsi="Times New Roman"/>
          <w:sz w:val="24"/>
          <w:szCs w:val="24"/>
        </w:rPr>
        <w:t>1:1</w:t>
      </w:r>
      <w:r>
        <w:rPr>
          <w:rFonts w:ascii="Times New Roman" w:hAnsi="Times New Roman"/>
          <w:sz w:val="24"/>
          <w:szCs w:val="24"/>
        </w:rPr>
        <w:t>)</w:t>
      </w:r>
      <w:r w:rsidRPr="007C1292">
        <w:rPr>
          <w:rFonts w:ascii="Times New Roman" w:hAnsi="Times New Roman"/>
          <w:sz w:val="24"/>
          <w:szCs w:val="24"/>
        </w:rPr>
        <w:t xml:space="preserve"> </w:t>
      </w:r>
      <w:r>
        <w:rPr>
          <w:rFonts w:ascii="Times New Roman" w:hAnsi="Times New Roman"/>
          <w:sz w:val="24"/>
          <w:szCs w:val="24"/>
        </w:rPr>
        <w:t xml:space="preserve">provider </w:t>
      </w:r>
      <w:r w:rsidRPr="007C1292">
        <w:rPr>
          <w:rFonts w:ascii="Times New Roman" w:hAnsi="Times New Roman"/>
          <w:sz w:val="24"/>
          <w:szCs w:val="24"/>
        </w:rPr>
        <w:t xml:space="preserve">education </w:t>
      </w:r>
      <w:r>
        <w:rPr>
          <w:rFonts w:ascii="Times New Roman" w:hAnsi="Times New Roman"/>
          <w:sz w:val="24"/>
          <w:szCs w:val="24"/>
        </w:rPr>
        <w:t>is to</w:t>
      </w:r>
      <w:r w:rsidRPr="007C1292">
        <w:rPr>
          <w:rFonts w:ascii="Times New Roman" w:hAnsi="Times New Roman"/>
          <w:sz w:val="24"/>
          <w:szCs w:val="24"/>
        </w:rPr>
        <w:t xml:space="preserve"> be </w:t>
      </w:r>
      <w:r>
        <w:rPr>
          <w:rFonts w:ascii="Times New Roman" w:hAnsi="Times New Roman"/>
          <w:sz w:val="24"/>
          <w:szCs w:val="24"/>
        </w:rPr>
        <w:t>done</w:t>
      </w:r>
      <w:r w:rsidRPr="007C1292">
        <w:rPr>
          <w:rFonts w:ascii="Times New Roman" w:hAnsi="Times New Roman"/>
          <w:sz w:val="24"/>
          <w:szCs w:val="24"/>
        </w:rPr>
        <w:t xml:space="preserve"> within 90 days after </w:t>
      </w:r>
      <w:r>
        <w:rPr>
          <w:rFonts w:ascii="Times New Roman" w:hAnsi="Times New Roman"/>
          <w:sz w:val="24"/>
          <w:szCs w:val="24"/>
        </w:rPr>
        <w:t xml:space="preserve">BFCC-QIO’s </w:t>
      </w:r>
      <w:r w:rsidRPr="007C1292">
        <w:rPr>
          <w:rFonts w:ascii="Times New Roman" w:hAnsi="Times New Roman"/>
          <w:sz w:val="24"/>
          <w:szCs w:val="24"/>
        </w:rPr>
        <w:t xml:space="preserve">completion of the </w:t>
      </w:r>
      <w:r w:rsidRPr="006A2C2A">
        <w:rPr>
          <w:rFonts w:ascii="Times New Roman" w:hAnsi="Times New Roman"/>
          <w:sz w:val="24"/>
          <w:szCs w:val="24"/>
        </w:rPr>
        <w:t xml:space="preserve">initial patient status </w:t>
      </w:r>
      <w:r>
        <w:rPr>
          <w:rFonts w:ascii="Times New Roman" w:hAnsi="Times New Roman"/>
          <w:sz w:val="24"/>
          <w:szCs w:val="24"/>
        </w:rPr>
        <w:t>claim</w:t>
      </w:r>
      <w:r w:rsidRPr="007C1292">
        <w:rPr>
          <w:rFonts w:ascii="Times New Roman" w:hAnsi="Times New Roman"/>
          <w:sz w:val="24"/>
          <w:szCs w:val="24"/>
        </w:rPr>
        <w:t xml:space="preserve"> review.</w:t>
      </w:r>
    </w:p>
    <w:p w:rsidR="002E156F" w:rsidRPr="007C1292" w:rsidRDefault="002E156F" w:rsidP="002E156F">
      <w:pPr>
        <w:pStyle w:val="ListParagraph"/>
        <w:widowControl/>
        <w:numPr>
          <w:ilvl w:val="2"/>
          <w:numId w:val="6"/>
        </w:numPr>
        <w:ind w:hanging="360"/>
        <w:contextualSpacing/>
        <w:rPr>
          <w:rFonts w:ascii="Times New Roman" w:hAnsi="Times New Roman"/>
          <w:sz w:val="24"/>
          <w:szCs w:val="24"/>
        </w:rPr>
      </w:pPr>
      <w:r w:rsidRPr="007C1292">
        <w:rPr>
          <w:rFonts w:ascii="Times New Roman" w:hAnsi="Times New Roman"/>
          <w:sz w:val="24"/>
          <w:szCs w:val="24"/>
        </w:rPr>
        <w:lastRenderedPageBreak/>
        <w:t xml:space="preserve">The BFCC-QIO conducting 1:1 telephonic education for providers </w:t>
      </w:r>
      <w:r>
        <w:rPr>
          <w:rFonts w:ascii="Times New Roman" w:hAnsi="Times New Roman"/>
          <w:sz w:val="24"/>
          <w:szCs w:val="24"/>
        </w:rPr>
        <w:t>will</w:t>
      </w:r>
      <w:r w:rsidRPr="007C1292">
        <w:rPr>
          <w:rFonts w:ascii="Times New Roman" w:hAnsi="Times New Roman"/>
          <w:sz w:val="24"/>
          <w:szCs w:val="24"/>
        </w:rPr>
        <w:t xml:space="preserve"> use or facilitate the educational session with a clinician</w:t>
      </w:r>
      <w:r>
        <w:rPr>
          <w:rFonts w:ascii="Times New Roman" w:hAnsi="Times New Roman"/>
          <w:sz w:val="24"/>
          <w:szCs w:val="24"/>
        </w:rPr>
        <w:t xml:space="preserve"> who is</w:t>
      </w:r>
      <w:r w:rsidRPr="007C1292">
        <w:rPr>
          <w:rFonts w:ascii="Times New Roman" w:hAnsi="Times New Roman"/>
          <w:sz w:val="24"/>
          <w:szCs w:val="24"/>
        </w:rPr>
        <w:t xml:space="preserve"> knowledgeable of the denied claim</w:t>
      </w:r>
      <w:r>
        <w:rPr>
          <w:rFonts w:ascii="Times New Roman" w:hAnsi="Times New Roman"/>
          <w:sz w:val="24"/>
          <w:szCs w:val="24"/>
        </w:rPr>
        <w:t>(</w:t>
      </w:r>
      <w:r w:rsidRPr="007C1292">
        <w:rPr>
          <w:rFonts w:ascii="Times New Roman" w:hAnsi="Times New Roman"/>
          <w:sz w:val="24"/>
          <w:szCs w:val="24"/>
        </w:rPr>
        <w:t>s</w:t>
      </w:r>
      <w:r>
        <w:rPr>
          <w:rFonts w:ascii="Times New Roman" w:hAnsi="Times New Roman"/>
          <w:sz w:val="24"/>
          <w:szCs w:val="24"/>
        </w:rPr>
        <w:t>)</w:t>
      </w:r>
      <w:r w:rsidRPr="007C1292">
        <w:rPr>
          <w:rFonts w:ascii="Times New Roman" w:hAnsi="Times New Roman"/>
          <w:sz w:val="24"/>
          <w:szCs w:val="24"/>
        </w:rPr>
        <w:t xml:space="preserve">.  </w:t>
      </w:r>
      <w:r w:rsidRPr="007C1292">
        <w:rPr>
          <w:rFonts w:ascii="Times New Roman" w:hAnsi="Times New Roman"/>
          <w:b/>
          <w:bCs/>
          <w:sz w:val="24"/>
          <w:szCs w:val="24"/>
        </w:rPr>
        <w:t xml:space="preserve">NOTE: </w:t>
      </w:r>
      <w:r w:rsidRPr="007C1292">
        <w:rPr>
          <w:rFonts w:ascii="Times New Roman" w:hAnsi="Times New Roman"/>
          <w:sz w:val="24"/>
          <w:szCs w:val="24"/>
        </w:rPr>
        <w:t xml:space="preserve">This knowledge may be </w:t>
      </w:r>
      <w:r>
        <w:rPr>
          <w:rFonts w:ascii="Times New Roman" w:hAnsi="Times New Roman"/>
          <w:sz w:val="24"/>
          <w:szCs w:val="24"/>
        </w:rPr>
        <w:t xml:space="preserve">the result of serving as the </w:t>
      </w:r>
      <w:r w:rsidRPr="007C1292">
        <w:rPr>
          <w:rFonts w:ascii="Times New Roman" w:hAnsi="Times New Roman"/>
          <w:sz w:val="24"/>
          <w:szCs w:val="24"/>
        </w:rPr>
        <w:t>primary or secondary clinical reviewer</w:t>
      </w:r>
      <w:r>
        <w:rPr>
          <w:rFonts w:ascii="Times New Roman" w:hAnsi="Times New Roman"/>
          <w:sz w:val="24"/>
          <w:szCs w:val="24"/>
        </w:rPr>
        <w:t xml:space="preserve"> for the identified claim(s).</w:t>
      </w:r>
      <w:r w:rsidRPr="007C1292">
        <w:rPr>
          <w:rFonts w:ascii="Times New Roman" w:hAnsi="Times New Roman"/>
          <w:sz w:val="24"/>
          <w:szCs w:val="24"/>
        </w:rPr>
        <w:t xml:space="preserve"> </w:t>
      </w:r>
    </w:p>
    <w:p w:rsidR="002E156F" w:rsidRPr="007C1292" w:rsidRDefault="002E156F" w:rsidP="002E156F">
      <w:pPr>
        <w:pStyle w:val="ListParagraph"/>
        <w:widowControl/>
        <w:numPr>
          <w:ilvl w:val="2"/>
          <w:numId w:val="6"/>
        </w:numPr>
        <w:ind w:hanging="360"/>
        <w:contextualSpacing/>
        <w:rPr>
          <w:rFonts w:ascii="Times New Roman" w:hAnsi="Times New Roman"/>
          <w:sz w:val="24"/>
          <w:szCs w:val="24"/>
        </w:rPr>
      </w:pPr>
      <w:r w:rsidRPr="007C1292">
        <w:rPr>
          <w:rFonts w:ascii="Times New Roman" w:hAnsi="Times New Roman"/>
          <w:sz w:val="24"/>
          <w:szCs w:val="24"/>
        </w:rPr>
        <w:t xml:space="preserve">The 1:1 </w:t>
      </w:r>
      <w:r>
        <w:rPr>
          <w:rFonts w:ascii="Times New Roman" w:hAnsi="Times New Roman"/>
          <w:sz w:val="24"/>
          <w:szCs w:val="24"/>
        </w:rPr>
        <w:t xml:space="preserve">provider </w:t>
      </w:r>
      <w:r w:rsidRPr="007C1292">
        <w:rPr>
          <w:rFonts w:ascii="Times New Roman" w:hAnsi="Times New Roman"/>
          <w:sz w:val="24"/>
          <w:szCs w:val="24"/>
        </w:rPr>
        <w:t xml:space="preserve">education session </w:t>
      </w:r>
      <w:r>
        <w:rPr>
          <w:rFonts w:ascii="Times New Roman" w:hAnsi="Times New Roman"/>
          <w:sz w:val="24"/>
          <w:szCs w:val="24"/>
        </w:rPr>
        <w:t>is</w:t>
      </w:r>
      <w:r w:rsidRPr="007C1292">
        <w:rPr>
          <w:rFonts w:ascii="Times New Roman" w:hAnsi="Times New Roman"/>
          <w:sz w:val="24"/>
          <w:szCs w:val="24"/>
        </w:rPr>
        <w:t xml:space="preserve"> designed to be provider</w:t>
      </w:r>
      <w:r>
        <w:rPr>
          <w:rFonts w:ascii="Times New Roman" w:hAnsi="Times New Roman"/>
          <w:sz w:val="24"/>
          <w:szCs w:val="24"/>
        </w:rPr>
        <w:t>-</w:t>
      </w:r>
      <w:r w:rsidRPr="007C1292">
        <w:rPr>
          <w:rFonts w:ascii="Times New Roman" w:hAnsi="Times New Roman"/>
          <w:sz w:val="24"/>
          <w:szCs w:val="24"/>
        </w:rPr>
        <w:t xml:space="preserve">specific and interactive </w:t>
      </w:r>
      <w:r>
        <w:rPr>
          <w:rFonts w:ascii="Times New Roman" w:hAnsi="Times New Roman"/>
          <w:sz w:val="24"/>
          <w:szCs w:val="24"/>
        </w:rPr>
        <w:t xml:space="preserve">giving </w:t>
      </w:r>
      <w:r w:rsidRPr="007C1292">
        <w:rPr>
          <w:rFonts w:ascii="Times New Roman" w:hAnsi="Times New Roman"/>
          <w:sz w:val="24"/>
          <w:szCs w:val="24"/>
        </w:rPr>
        <w:t>the provider the opportunity to review the BFCC</w:t>
      </w:r>
      <w:r>
        <w:rPr>
          <w:rFonts w:ascii="Times New Roman" w:hAnsi="Times New Roman"/>
          <w:sz w:val="24"/>
          <w:szCs w:val="24"/>
        </w:rPr>
        <w:t>-</w:t>
      </w:r>
      <w:r w:rsidRPr="007C1292">
        <w:rPr>
          <w:rFonts w:ascii="Times New Roman" w:hAnsi="Times New Roman"/>
          <w:sz w:val="24"/>
          <w:szCs w:val="24"/>
        </w:rPr>
        <w:t>QIO claim</w:t>
      </w:r>
      <w:r>
        <w:rPr>
          <w:rFonts w:ascii="Times New Roman" w:hAnsi="Times New Roman"/>
          <w:sz w:val="24"/>
          <w:szCs w:val="24"/>
        </w:rPr>
        <w:t>(s)</w:t>
      </w:r>
      <w:r w:rsidRPr="007C1292">
        <w:rPr>
          <w:rFonts w:ascii="Times New Roman" w:hAnsi="Times New Roman"/>
          <w:sz w:val="24"/>
          <w:szCs w:val="24"/>
        </w:rPr>
        <w:t xml:space="preserve"> decisions, ask questions and receive meaningful feedback conducive to behavioral change </w:t>
      </w:r>
      <w:r>
        <w:rPr>
          <w:rFonts w:ascii="Times New Roman" w:hAnsi="Times New Roman"/>
          <w:sz w:val="24"/>
          <w:szCs w:val="24"/>
        </w:rPr>
        <w:t xml:space="preserve">to </w:t>
      </w:r>
      <w:r w:rsidRPr="007C1292">
        <w:rPr>
          <w:rFonts w:ascii="Times New Roman" w:hAnsi="Times New Roman"/>
          <w:sz w:val="24"/>
          <w:szCs w:val="24"/>
        </w:rPr>
        <w:t>increase provider compliance.  The provider determine</w:t>
      </w:r>
      <w:r>
        <w:rPr>
          <w:rFonts w:ascii="Times New Roman" w:hAnsi="Times New Roman"/>
          <w:sz w:val="24"/>
          <w:szCs w:val="24"/>
        </w:rPr>
        <w:t>s</w:t>
      </w:r>
      <w:r w:rsidRPr="007C1292">
        <w:rPr>
          <w:rFonts w:ascii="Times New Roman" w:hAnsi="Times New Roman"/>
          <w:sz w:val="24"/>
          <w:szCs w:val="24"/>
        </w:rPr>
        <w:t xml:space="preserve"> the appropriate personnel to receive the education.</w:t>
      </w:r>
    </w:p>
    <w:p w:rsidR="002E156F" w:rsidRPr="007C1292" w:rsidRDefault="002E156F" w:rsidP="002E156F">
      <w:pPr>
        <w:pStyle w:val="ListParagraph"/>
        <w:widowControl/>
        <w:numPr>
          <w:ilvl w:val="2"/>
          <w:numId w:val="6"/>
        </w:numPr>
        <w:ind w:hanging="360"/>
        <w:contextualSpacing/>
        <w:rPr>
          <w:rFonts w:ascii="Times New Roman" w:hAnsi="Times New Roman"/>
          <w:sz w:val="24"/>
          <w:szCs w:val="24"/>
        </w:rPr>
      </w:pPr>
      <w:r w:rsidRPr="007C1292">
        <w:rPr>
          <w:rFonts w:ascii="Times New Roman" w:hAnsi="Times New Roman"/>
          <w:sz w:val="24"/>
          <w:szCs w:val="24"/>
        </w:rPr>
        <w:t xml:space="preserve">The BFCC-QIO </w:t>
      </w:r>
      <w:r>
        <w:rPr>
          <w:rFonts w:ascii="Times New Roman" w:hAnsi="Times New Roman"/>
          <w:sz w:val="24"/>
          <w:szCs w:val="24"/>
        </w:rPr>
        <w:t>is to</w:t>
      </w:r>
      <w:r w:rsidRPr="007C1292">
        <w:rPr>
          <w:rFonts w:ascii="Times New Roman" w:hAnsi="Times New Roman"/>
          <w:sz w:val="24"/>
          <w:szCs w:val="24"/>
        </w:rPr>
        <w:t xml:space="preserve"> notify providers at the start of every teleconference that the discussion may be monitored by CMS as a third party for quality assurance purposes. </w:t>
      </w:r>
    </w:p>
    <w:p w:rsidR="002E156F" w:rsidRDefault="002E156F" w:rsidP="002E156F">
      <w:pPr>
        <w:spacing w:before="5"/>
        <w:ind w:left="720"/>
        <w:rPr>
          <w:rFonts w:ascii="Times New Roman" w:eastAsia="Times New Roman" w:hAnsi="Times New Roman" w:cs="Times New Roman"/>
          <w:sz w:val="24"/>
          <w:szCs w:val="24"/>
        </w:rPr>
      </w:pPr>
    </w:p>
    <w:p w:rsidR="002E156F" w:rsidRPr="00061408" w:rsidRDefault="002E156F" w:rsidP="002E156F">
      <w:pPr>
        <w:pStyle w:val="ListParagraph"/>
        <w:widowControl/>
        <w:numPr>
          <w:ilvl w:val="1"/>
          <w:numId w:val="6"/>
        </w:numPr>
        <w:contextualSpacing/>
        <w:rPr>
          <w:rFonts w:ascii="Times New Roman" w:hAnsi="Times New Roman"/>
          <w:sz w:val="24"/>
          <w:szCs w:val="24"/>
        </w:rPr>
      </w:pPr>
      <w:r w:rsidRPr="00061408">
        <w:rPr>
          <w:rFonts w:ascii="Times New Roman" w:eastAsia="Times New Roman" w:hAnsi="Times New Roman" w:cs="Times New Roman"/>
          <w:sz w:val="24"/>
          <w:szCs w:val="24"/>
          <w:u w:val="single"/>
        </w:rPr>
        <w:t>QIO Referral to the Review Auditors</w:t>
      </w:r>
      <w:r w:rsidRPr="008B7108">
        <w:t xml:space="preserve"> </w:t>
      </w:r>
    </w:p>
    <w:p w:rsidR="002E156F" w:rsidRPr="00061408" w:rsidRDefault="002E156F" w:rsidP="002E156F">
      <w:pPr>
        <w:pStyle w:val="ListParagraph"/>
        <w:widowControl/>
        <w:numPr>
          <w:ilvl w:val="2"/>
          <w:numId w:val="6"/>
        </w:numPr>
        <w:ind w:hanging="360"/>
        <w:contextualSpacing/>
        <w:rPr>
          <w:rFonts w:ascii="Times New Roman" w:hAnsi="Times New Roman"/>
          <w:sz w:val="24"/>
          <w:szCs w:val="24"/>
        </w:rPr>
      </w:pPr>
      <w:r w:rsidRPr="00061408">
        <w:rPr>
          <w:rFonts w:ascii="Times New Roman" w:hAnsi="Times New Roman"/>
          <w:sz w:val="24"/>
          <w:szCs w:val="24"/>
        </w:rPr>
        <w:t xml:space="preserve">At the direction of CMS, the BFCC-QIO </w:t>
      </w:r>
      <w:r>
        <w:rPr>
          <w:rFonts w:ascii="Times New Roman" w:hAnsi="Times New Roman"/>
          <w:sz w:val="24"/>
          <w:szCs w:val="24"/>
        </w:rPr>
        <w:t>will</w:t>
      </w:r>
      <w:r w:rsidRPr="00061408">
        <w:rPr>
          <w:rFonts w:ascii="Times New Roman" w:hAnsi="Times New Roman"/>
          <w:sz w:val="24"/>
          <w:szCs w:val="24"/>
        </w:rPr>
        <w:t xml:space="preserve"> refer providers </w:t>
      </w:r>
      <w:r>
        <w:rPr>
          <w:rFonts w:ascii="Times New Roman" w:hAnsi="Times New Roman"/>
          <w:sz w:val="24"/>
          <w:szCs w:val="24"/>
        </w:rPr>
        <w:t>with inpatient status</w:t>
      </w:r>
      <w:r w:rsidRPr="00061408">
        <w:rPr>
          <w:rFonts w:ascii="Times New Roman" w:hAnsi="Times New Roman"/>
          <w:sz w:val="24"/>
          <w:szCs w:val="24"/>
        </w:rPr>
        <w:t xml:space="preserve"> claims identified as having ‘Major Concerns” to the Recovery Audit Contractor (RACs) to implement provider specific audits. </w:t>
      </w:r>
    </w:p>
    <w:p w:rsidR="002E156F" w:rsidRPr="00AB09FE" w:rsidRDefault="002E156F" w:rsidP="002E156F">
      <w:pPr>
        <w:pStyle w:val="ListParagraph"/>
        <w:spacing w:before="5"/>
        <w:ind w:left="720"/>
        <w:rPr>
          <w:rFonts w:ascii="Times New Roman" w:eastAsia="Times New Roman" w:hAnsi="Times New Roman" w:cs="Times New Roman"/>
          <w:sz w:val="24"/>
          <w:szCs w:val="24"/>
        </w:rPr>
      </w:pPr>
    </w:p>
    <w:p w:rsidR="002E156F" w:rsidRDefault="002E156F" w:rsidP="002E156F">
      <w:pPr>
        <w:spacing w:before="3"/>
        <w:rPr>
          <w:rFonts w:ascii="Times New Roman" w:eastAsia="Times New Roman" w:hAnsi="Times New Roman" w:cs="Times New Roman"/>
          <w:sz w:val="18"/>
          <w:szCs w:val="18"/>
        </w:rPr>
      </w:pPr>
    </w:p>
    <w:p w:rsidR="002E156F" w:rsidRDefault="002E156F" w:rsidP="002E156F">
      <w:pPr>
        <w:pStyle w:val="Heading1"/>
        <w:numPr>
          <w:ilvl w:val="0"/>
          <w:numId w:val="2"/>
        </w:numPr>
        <w:tabs>
          <w:tab w:val="left" w:pos="840"/>
        </w:tabs>
        <w:ind w:right="113"/>
        <w:rPr>
          <w:b w:val="0"/>
          <w:bCs w:val="0"/>
        </w:rPr>
      </w:pPr>
      <w:r>
        <w:rPr>
          <w:noProof/>
        </w:rPr>
        <mc:AlternateContent>
          <mc:Choice Requires="wpg">
            <w:drawing>
              <wp:anchor distT="0" distB="0" distL="114300" distR="114300" simplePos="0" relativeHeight="251660288" behindDoc="1" locked="0" layoutInCell="1" allowOverlap="1" wp14:anchorId="3954A06E" wp14:editId="7E9B7F3D">
                <wp:simplePos x="0" y="0"/>
                <wp:positionH relativeFrom="page">
                  <wp:posOffset>457200</wp:posOffset>
                </wp:positionH>
                <wp:positionV relativeFrom="paragraph">
                  <wp:posOffset>163830</wp:posOffset>
                </wp:positionV>
                <wp:extent cx="5476875" cy="45720"/>
                <wp:effectExtent l="0" t="0" r="28575" b="0"/>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6875" cy="45720"/>
                          <a:chOff x="720" y="262"/>
                          <a:chExt cx="8625" cy="72"/>
                        </a:xfrm>
                      </wpg:grpSpPr>
                      <wps:wsp>
                        <wps:cNvPr id="15" name="Freeform 5"/>
                        <wps:cNvSpPr>
                          <a:spLocks/>
                        </wps:cNvSpPr>
                        <wps:spPr bwMode="auto">
                          <a:xfrm>
                            <a:off x="720" y="262"/>
                            <a:ext cx="8625" cy="72"/>
                          </a:xfrm>
                          <a:custGeom>
                            <a:avLst/>
                            <a:gdLst>
                              <a:gd name="T0" fmla="+- 0 720 720"/>
                              <a:gd name="T1" fmla="*/ T0 w 9994"/>
                              <a:gd name="T2" fmla="+- 0 10714 720"/>
                              <a:gd name="T3" fmla="*/ T2 w 9994"/>
                            </a:gdLst>
                            <a:ahLst/>
                            <a:cxnLst>
                              <a:cxn ang="0">
                                <a:pos x="T1" y="0"/>
                              </a:cxn>
                              <a:cxn ang="0">
                                <a:pos x="T3" y="0"/>
                              </a:cxn>
                            </a:cxnLst>
                            <a:rect l="0" t="0" r="r" b="b"/>
                            <a:pathLst>
                              <a:path w="9994">
                                <a:moveTo>
                                  <a:pt x="0" y="0"/>
                                </a:moveTo>
                                <a:lnTo>
                                  <a:pt x="9994" y="0"/>
                                </a:lnTo>
                              </a:path>
                            </a:pathLst>
                          </a:custGeom>
                          <a:noFill/>
                          <a:ln w="152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6pt;margin-top:12.9pt;width:431.25pt;height:3.6pt;z-index:-251656192;mso-position-horizontal-relative:page" coordorigin="720,262" coordsize="862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">
                <v:shape id="Freeform 5" o:spid="_x0000_s1027" style="position:absolute;left:720;top:262;width:8625;height:72;visibility:visible;mso-wrap-style:square;v-text-anchor:top" coordsize="999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vmsIA&#10;AADbAAAADwAAAGRycy9kb3ducmV2LnhtbERP32vCMBB+H/g/hBN8m6kDy+iMMgaKD4LYjYlvR3Nr&#10;is2lJFnb7a83wmBv9/H9vNVmtK3oyYfGsYLFPANBXDndcK3g4337+AwiRGSNrWNS8EMBNuvJwwoL&#10;7QY+UV/GWqQQDgUqMDF2hZShMmQxzF1HnLgv5y3GBH0ttcchhdtWPmVZLi02nBoMdvRmqLqW31bB&#10;cSt/y8PxnJ2wMRfKc7x+7lCp2XR8fQERaYz/4j/3Xqf5S7j/kg6Q6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T++awgAAANsAAAAPAAAAAAAAAAAAAAAAAJgCAABkcnMvZG93&#10;bnJldi54bWxQSwUGAAAAAAQABAD1AAAAhwMAAAAA&#10;" path="m,l9994,e" filled="f" strokeweight="1.2pt">
                  <v:path arrowok="t" o:connecttype="custom" o:connectlocs="0,0;8625,0" o:connectangles="0,0"/>
                </v:shape>
                <w10:wrap anchorx="page"/>
              </v:group>
            </w:pict>
          </mc:Fallback>
        </mc:AlternateContent>
      </w:r>
      <w:r>
        <w:t>Reviewing Hospital Claims for Inpatient Status: The 2-Midnight Benchmark</w:t>
      </w:r>
    </w:p>
    <w:p w:rsidR="002E156F" w:rsidRDefault="002E156F" w:rsidP="002E156F">
      <w:pPr>
        <w:pStyle w:val="BodyText"/>
        <w:spacing w:before="69"/>
        <w:ind w:left="120" w:right="154"/>
      </w:pPr>
    </w:p>
    <w:p w:rsidR="002E156F" w:rsidRDefault="002E156F" w:rsidP="002E156F">
      <w:pPr>
        <w:pStyle w:val="BodyText"/>
        <w:spacing w:before="69"/>
        <w:ind w:left="120" w:right="154"/>
      </w:pPr>
      <w:r>
        <w:t xml:space="preserve">The 2-midnight </w:t>
      </w:r>
      <w:r w:rsidRPr="00CC6AE2">
        <w:rPr>
          <w:u w:val="thick" w:color="000000"/>
        </w:rPr>
        <w:t>benchmark</w:t>
      </w:r>
      <w:r>
        <w:rPr>
          <w:u w:val="thick" w:color="000000"/>
        </w:rPr>
        <w:t xml:space="preserve"> </w:t>
      </w:r>
      <w:r w:rsidRPr="00CC6AE2">
        <w:t>represents</w:t>
      </w:r>
      <w:r>
        <w:t xml:space="preserve"> guidance to Medicare review contractors to identify when an</w:t>
      </w:r>
      <w:r>
        <w:rPr>
          <w:spacing w:val="-22"/>
        </w:rPr>
        <w:t xml:space="preserve"> </w:t>
      </w:r>
      <w:r>
        <w:t>inpatient admission is generally appropriate for Medicare Part A payment under</w:t>
      </w:r>
      <w:r>
        <w:rPr>
          <w:spacing w:val="-22"/>
        </w:rPr>
        <w:t xml:space="preserve"> </w:t>
      </w:r>
      <w:r>
        <w:t>CMS-1599-F, as revised by CMS-1633-F.</w:t>
      </w:r>
    </w:p>
    <w:p w:rsidR="002E156F" w:rsidRDefault="002E156F" w:rsidP="002E156F">
      <w:pPr>
        <w:spacing w:before="5"/>
        <w:rPr>
          <w:rFonts w:ascii="Times New Roman" w:eastAsia="Times New Roman" w:hAnsi="Times New Roman" w:cs="Times New Roman"/>
          <w:sz w:val="24"/>
          <w:szCs w:val="24"/>
        </w:rPr>
      </w:pPr>
    </w:p>
    <w:p w:rsidR="002E156F" w:rsidRPr="00B60895" w:rsidRDefault="002E156F" w:rsidP="002E156F">
      <w:pPr>
        <w:pStyle w:val="Heading1"/>
        <w:numPr>
          <w:ilvl w:val="0"/>
          <w:numId w:val="1"/>
        </w:numPr>
        <w:tabs>
          <w:tab w:val="left" w:pos="413"/>
        </w:tabs>
        <w:ind w:right="154" w:hanging="292"/>
        <w:rPr>
          <w:b w:val="0"/>
          <w:bCs w:val="0"/>
        </w:rPr>
      </w:pPr>
      <w:r>
        <w:t>General Rule for Expected 0-1 Midnight</w:t>
      </w:r>
      <w:r>
        <w:rPr>
          <w:spacing w:val="-4"/>
        </w:rPr>
        <w:t xml:space="preserve"> </w:t>
      </w:r>
      <w:r>
        <w:t>Stays</w:t>
      </w:r>
    </w:p>
    <w:p w:rsidR="002E156F" w:rsidRPr="00B9105B" w:rsidRDefault="002E156F" w:rsidP="002E156F">
      <w:pPr>
        <w:pStyle w:val="Heading1"/>
        <w:tabs>
          <w:tab w:val="left" w:pos="413"/>
        </w:tabs>
        <w:ind w:left="412" w:right="154"/>
        <w:rPr>
          <w:b w:val="0"/>
          <w:bCs w:val="0"/>
        </w:rPr>
      </w:pPr>
    </w:p>
    <w:p w:rsidR="002E156F" w:rsidRDefault="002E156F" w:rsidP="002E156F">
      <w:pPr>
        <w:pStyle w:val="BodyText"/>
        <w:ind w:left="418" w:right="158"/>
      </w:pPr>
      <w:r>
        <w:rPr>
          <w:b/>
        </w:rPr>
        <w:t xml:space="preserve">A.1. General Rule for Services on Medicare’s Inpatient Only List: </w:t>
      </w:r>
      <w:r>
        <w:t>Medicare’s “Inpatient-Only” list, as authorized by 42 C.F.R. § 419.22(n), defines services that support an inpatient</w:t>
      </w:r>
      <w:r>
        <w:rPr>
          <w:spacing w:val="-18"/>
        </w:rPr>
        <w:t xml:space="preserve"> </w:t>
      </w:r>
      <w:r>
        <w:t>admission and Part A payment as appropriate, regardless of the expected length of stay. The QIOs will approve these cases so long as other requirements are</w:t>
      </w:r>
      <w:r>
        <w:rPr>
          <w:spacing w:val="-15"/>
        </w:rPr>
        <w:t xml:space="preserve"> </w:t>
      </w:r>
      <w:r>
        <w:t>met.</w:t>
      </w:r>
    </w:p>
    <w:p w:rsidR="002E156F" w:rsidRDefault="002E156F" w:rsidP="002E156F">
      <w:pPr>
        <w:spacing w:before="5"/>
        <w:rPr>
          <w:rFonts w:ascii="Times New Roman" w:eastAsia="Times New Roman" w:hAnsi="Times New Roman" w:cs="Times New Roman"/>
          <w:sz w:val="24"/>
          <w:szCs w:val="24"/>
        </w:rPr>
      </w:pPr>
    </w:p>
    <w:p w:rsidR="002E156F" w:rsidRDefault="002E156F" w:rsidP="002E156F">
      <w:pPr>
        <w:pStyle w:val="BodyText"/>
        <w:ind w:left="412" w:right="154"/>
      </w:pPr>
      <w:r>
        <w:t xml:space="preserve">Providers are reminded that the list of procedural codes defined as “inpatient-only” are accessible at: </w:t>
      </w:r>
      <w:r w:rsidRPr="00560DE7">
        <w:t>https://www.cms.gov/Medicare/Medicare-Fee-for-Service-Payment/HospitalOutpatientPPS/Hospital-Outpatient-Regulations-and-Notices.html</w:t>
      </w:r>
      <w:r>
        <w:t xml:space="preserve">. Providers trying to determine if a procedure is classified as inpatient-only for the year in which the procedure is being performed shall access the final rule for the year in question, click on the “OPPS Addenda” under the related links, and review the file containing addendum E. </w:t>
      </w:r>
    </w:p>
    <w:p w:rsidR="002E156F" w:rsidRDefault="002E156F" w:rsidP="002E156F">
      <w:pPr>
        <w:pStyle w:val="Heading1"/>
        <w:tabs>
          <w:tab w:val="left" w:pos="840"/>
        </w:tabs>
        <w:ind w:left="418" w:right="158"/>
        <w:rPr>
          <w:bCs w:val="0"/>
        </w:rPr>
      </w:pPr>
    </w:p>
    <w:p w:rsidR="002E156F" w:rsidRPr="00B60895" w:rsidRDefault="002E156F" w:rsidP="002E156F">
      <w:pPr>
        <w:pStyle w:val="Heading1"/>
        <w:tabs>
          <w:tab w:val="left" w:pos="840"/>
        </w:tabs>
        <w:ind w:left="418" w:right="158"/>
        <w:rPr>
          <w:b w:val="0"/>
          <w:bCs w:val="0"/>
        </w:rPr>
      </w:pPr>
      <w:r w:rsidRPr="00B9105B">
        <w:rPr>
          <w:bCs w:val="0"/>
        </w:rPr>
        <w:t>A.2</w:t>
      </w:r>
      <w:r>
        <w:rPr>
          <w:bCs w:val="0"/>
        </w:rPr>
        <w:t xml:space="preserve"> </w:t>
      </w:r>
      <w:r>
        <w:t>When the Expected Length of Stay was Less Than 2</w:t>
      </w:r>
      <w:r>
        <w:rPr>
          <w:spacing w:val="-5"/>
        </w:rPr>
        <w:t xml:space="preserve"> </w:t>
      </w:r>
      <w:r>
        <w:t xml:space="preserve">Midnights: </w:t>
      </w:r>
    </w:p>
    <w:p w:rsidR="002E156F" w:rsidRPr="0022153E" w:rsidRDefault="002E156F" w:rsidP="002E156F">
      <w:pPr>
        <w:pStyle w:val="CommentText"/>
        <w:ind w:left="418" w:right="158"/>
        <w:rPr>
          <w:rFonts w:ascii="Times New Roman" w:hAnsi="Times New Roman" w:cs="Times New Roman"/>
          <w:sz w:val="24"/>
          <w:szCs w:val="24"/>
        </w:rPr>
      </w:pPr>
      <w:r w:rsidRPr="002C2795">
        <w:rPr>
          <w:rFonts w:ascii="Times New Roman" w:hAnsi="Times New Roman" w:cs="Times New Roman"/>
          <w:sz w:val="24"/>
          <w:szCs w:val="24"/>
        </w:rPr>
        <w:t>Pursuant to the 2 Midnight Rule [or CMS-1599-F], except for cases involving services on the “Inpatient-Only” list, Part A payment is</w:t>
      </w:r>
      <w:r w:rsidR="00FF777D">
        <w:rPr>
          <w:rFonts w:ascii="Times New Roman" w:hAnsi="Times New Roman" w:cs="Times New Roman"/>
          <w:sz w:val="24"/>
          <w:szCs w:val="24"/>
        </w:rPr>
        <w:t xml:space="preserve"> generally not</w:t>
      </w:r>
      <w:r w:rsidRPr="002C2795">
        <w:rPr>
          <w:rFonts w:ascii="Times New Roman" w:hAnsi="Times New Roman" w:cs="Times New Roman"/>
          <w:sz w:val="24"/>
          <w:szCs w:val="24"/>
        </w:rPr>
        <w:t xml:space="preserve"> appropriate for admissions where the expected length of stay is less than two midnights. </w:t>
      </w:r>
      <w:r w:rsidR="00FF777D">
        <w:rPr>
          <w:rFonts w:ascii="Times New Roman" w:hAnsi="Times New Roman" w:cs="Times New Roman"/>
          <w:sz w:val="24"/>
          <w:szCs w:val="24"/>
        </w:rPr>
        <w:t>Under the revised exceptions policy pursuant to CMS-1633-F, f</w:t>
      </w:r>
      <w:r w:rsidR="00FF777D" w:rsidRPr="002C2795">
        <w:rPr>
          <w:rFonts w:ascii="Times New Roman" w:hAnsi="Times New Roman" w:cs="Times New Roman"/>
          <w:sz w:val="24"/>
          <w:szCs w:val="24"/>
        </w:rPr>
        <w:t xml:space="preserve">or </w:t>
      </w:r>
      <w:r w:rsidRPr="002C2795">
        <w:rPr>
          <w:rFonts w:ascii="Times New Roman" w:hAnsi="Times New Roman" w:cs="Times New Roman"/>
          <w:sz w:val="24"/>
          <w:szCs w:val="24"/>
        </w:rPr>
        <w:t xml:space="preserve">admissions not meeting the two midnight benchmark, </w:t>
      </w:r>
      <w:r w:rsidR="00FF777D">
        <w:rPr>
          <w:rFonts w:ascii="Times New Roman" w:hAnsi="Times New Roman" w:cs="Times New Roman"/>
          <w:sz w:val="24"/>
          <w:szCs w:val="24"/>
        </w:rPr>
        <w:t>Part A payment is appropriate on a case-by-case basis where</w:t>
      </w:r>
      <w:r w:rsidRPr="002C2795">
        <w:rPr>
          <w:rFonts w:ascii="Times New Roman" w:hAnsi="Times New Roman" w:cs="Times New Roman"/>
          <w:sz w:val="24"/>
          <w:szCs w:val="24"/>
        </w:rPr>
        <w:t xml:space="preserve"> the medical record supports the admitting physician’s determination that the patient </w:t>
      </w:r>
      <w:r w:rsidR="006C64C7">
        <w:rPr>
          <w:rFonts w:ascii="Times New Roman" w:hAnsi="Times New Roman" w:cs="Times New Roman"/>
          <w:sz w:val="24"/>
          <w:szCs w:val="24"/>
        </w:rPr>
        <w:t xml:space="preserve">requires </w:t>
      </w:r>
      <w:r w:rsidR="006C64C7" w:rsidRPr="002C2795">
        <w:rPr>
          <w:rFonts w:ascii="Times New Roman" w:hAnsi="Times New Roman" w:cs="Times New Roman"/>
          <w:sz w:val="24"/>
          <w:szCs w:val="24"/>
        </w:rPr>
        <w:t>inpatient</w:t>
      </w:r>
      <w:r w:rsidRPr="002C2795">
        <w:rPr>
          <w:rFonts w:ascii="Times New Roman" w:hAnsi="Times New Roman" w:cs="Times New Roman"/>
          <w:sz w:val="24"/>
          <w:szCs w:val="24"/>
        </w:rPr>
        <w:t xml:space="preserve"> care, despite the lack of a 2 midnight expectation.</w:t>
      </w:r>
      <w:r w:rsidR="00FF777D">
        <w:rPr>
          <w:rFonts w:ascii="Times New Roman" w:hAnsi="Times New Roman" w:cs="Times New Roman"/>
          <w:sz w:val="24"/>
          <w:szCs w:val="24"/>
        </w:rPr>
        <w:t xml:space="preserve">  </w:t>
      </w:r>
      <w:r w:rsidR="00F86219">
        <w:rPr>
          <w:rFonts w:ascii="Times New Roman" w:hAnsi="Times New Roman" w:cs="Times New Roman"/>
          <w:sz w:val="24"/>
          <w:szCs w:val="24"/>
        </w:rPr>
        <w:t>T</w:t>
      </w:r>
      <w:r w:rsidR="0022153E">
        <w:rPr>
          <w:rFonts w:ascii="Times New Roman" w:hAnsi="Times New Roman" w:cs="Times New Roman"/>
          <w:sz w:val="24"/>
          <w:szCs w:val="24"/>
        </w:rPr>
        <w:t>he QIOs</w:t>
      </w:r>
      <w:r w:rsidR="0022153E" w:rsidRPr="004D7E70">
        <w:rPr>
          <w:rFonts w:ascii="Times New Roman" w:hAnsi="Times New Roman" w:cs="Times New Roman"/>
          <w:sz w:val="24"/>
          <w:szCs w:val="24"/>
        </w:rPr>
        <w:t xml:space="preserve"> </w:t>
      </w:r>
      <w:r w:rsidR="00F86219">
        <w:rPr>
          <w:rFonts w:ascii="Times New Roman" w:hAnsi="Times New Roman" w:cs="Times New Roman"/>
          <w:sz w:val="24"/>
          <w:szCs w:val="24"/>
        </w:rPr>
        <w:t xml:space="preserve">will </w:t>
      </w:r>
      <w:r w:rsidR="0022153E" w:rsidRPr="004D7E70">
        <w:rPr>
          <w:rFonts w:ascii="Times New Roman" w:hAnsi="Times New Roman" w:cs="Times New Roman"/>
          <w:sz w:val="24"/>
          <w:szCs w:val="24"/>
        </w:rPr>
        <w:t xml:space="preserve">consider complex medical factors </w:t>
      </w:r>
      <w:r w:rsidR="00A07EE1">
        <w:rPr>
          <w:rFonts w:ascii="Times New Roman" w:hAnsi="Times New Roman" w:cs="Times New Roman"/>
          <w:sz w:val="24"/>
          <w:szCs w:val="24"/>
        </w:rPr>
        <w:t>such as history and comorbidities, the severity of signs and symptoms, current medical needs, and the risk of an adverse event to determine whether the medical record supports the need for inpatient hospital care.</w:t>
      </w:r>
      <w:r w:rsidR="0022153E">
        <w:rPr>
          <w:rFonts w:ascii="Times New Roman" w:hAnsi="Times New Roman" w:cs="Times New Roman"/>
          <w:sz w:val="24"/>
          <w:szCs w:val="24"/>
        </w:rPr>
        <w:t xml:space="preserve"> </w:t>
      </w:r>
      <w:r w:rsidR="00FF777D">
        <w:rPr>
          <w:rFonts w:ascii="Times New Roman" w:hAnsi="Times New Roman" w:cs="Times New Roman"/>
          <w:sz w:val="24"/>
          <w:szCs w:val="24"/>
        </w:rPr>
        <w:t>The</w:t>
      </w:r>
      <w:r w:rsidR="00F86219">
        <w:rPr>
          <w:rFonts w:ascii="Times New Roman" w:hAnsi="Times New Roman" w:cs="Times New Roman"/>
          <w:sz w:val="24"/>
          <w:szCs w:val="24"/>
        </w:rPr>
        <w:t>se cases will be approved by the</w:t>
      </w:r>
      <w:r w:rsidR="00FF777D">
        <w:rPr>
          <w:rFonts w:ascii="Times New Roman" w:hAnsi="Times New Roman" w:cs="Times New Roman"/>
          <w:sz w:val="24"/>
          <w:szCs w:val="24"/>
        </w:rPr>
        <w:t xml:space="preserve"> </w:t>
      </w:r>
      <w:r w:rsidR="006C64C7">
        <w:rPr>
          <w:rFonts w:ascii="Times New Roman" w:hAnsi="Times New Roman" w:cs="Times New Roman"/>
          <w:sz w:val="24"/>
          <w:szCs w:val="24"/>
        </w:rPr>
        <w:t>QIOs when the</w:t>
      </w:r>
      <w:r w:rsidR="0022153E">
        <w:rPr>
          <w:rFonts w:ascii="Times New Roman" w:hAnsi="Times New Roman" w:cs="Times New Roman"/>
          <w:sz w:val="24"/>
          <w:szCs w:val="24"/>
        </w:rPr>
        <w:t xml:space="preserve"> </w:t>
      </w:r>
      <w:r w:rsidR="00FF777D">
        <w:rPr>
          <w:rFonts w:ascii="Times New Roman" w:hAnsi="Times New Roman" w:cs="Times New Roman"/>
          <w:sz w:val="24"/>
          <w:szCs w:val="24"/>
        </w:rPr>
        <w:t>other requirements are met.</w:t>
      </w:r>
      <w:r w:rsidR="0022153E">
        <w:rPr>
          <w:rFonts w:ascii="Times New Roman" w:hAnsi="Times New Roman" w:cs="Times New Roman"/>
          <w:sz w:val="24"/>
          <w:szCs w:val="24"/>
        </w:rPr>
        <w:t xml:space="preserve"> </w:t>
      </w:r>
    </w:p>
    <w:p w:rsidR="002E156F" w:rsidRDefault="002E156F" w:rsidP="002E156F">
      <w:pPr>
        <w:pStyle w:val="BodyText"/>
        <w:ind w:left="418" w:right="158"/>
      </w:pPr>
    </w:p>
    <w:p w:rsidR="002E156F" w:rsidRPr="00B9105B" w:rsidRDefault="002E156F" w:rsidP="002E156F">
      <w:pPr>
        <w:pStyle w:val="Heading1"/>
        <w:numPr>
          <w:ilvl w:val="0"/>
          <w:numId w:val="1"/>
        </w:numPr>
        <w:tabs>
          <w:tab w:val="left" w:pos="401"/>
        </w:tabs>
        <w:ind w:left="400" w:right="154" w:hanging="280"/>
        <w:rPr>
          <w:b w:val="0"/>
          <w:bCs w:val="0"/>
        </w:rPr>
      </w:pPr>
      <w:r>
        <w:lastRenderedPageBreak/>
        <w:t>General Rule for Expected 2 or More Midnight</w:t>
      </w:r>
      <w:r>
        <w:rPr>
          <w:spacing w:val="-3"/>
        </w:rPr>
        <w:t xml:space="preserve"> </w:t>
      </w:r>
      <w:r>
        <w:t>Stays</w:t>
      </w:r>
    </w:p>
    <w:p w:rsidR="002E156F" w:rsidRDefault="002E156F" w:rsidP="002E156F">
      <w:pPr>
        <w:pStyle w:val="BodyText"/>
        <w:ind w:right="261"/>
      </w:pPr>
      <w:r w:rsidRPr="00B9105B">
        <w:t>When a patient enters a hospital for a surgical procedure, a diagnostic test, or</w:t>
      </w:r>
      <w:r w:rsidRPr="00B9105B">
        <w:rPr>
          <w:spacing w:val="-19"/>
        </w:rPr>
        <w:t xml:space="preserve"> </w:t>
      </w:r>
      <w:r w:rsidRPr="00B9105B">
        <w:t>any other treatment and the physician expects the beneficiary will require medically necessary hospital services</w:t>
      </w:r>
      <w:r w:rsidRPr="00B9105B">
        <w:rPr>
          <w:spacing w:val="-25"/>
        </w:rPr>
        <w:t xml:space="preserve"> </w:t>
      </w:r>
      <w:r w:rsidRPr="00B9105B">
        <w:t>for 2 or more midnights (including inpatient and pre-admission outpatient time), and orders admission based upon that expectation, the services are</w:t>
      </w:r>
      <w:r w:rsidRPr="00B9105B">
        <w:rPr>
          <w:spacing w:val="-13"/>
        </w:rPr>
        <w:t xml:space="preserve"> </w:t>
      </w:r>
      <w:r w:rsidRPr="00B9105B">
        <w:t xml:space="preserve">generally </w:t>
      </w:r>
      <w:r w:rsidRPr="00B9105B">
        <w:rPr>
          <w:u w:val="single" w:color="000000"/>
        </w:rPr>
        <w:t xml:space="preserve">appropriate </w:t>
      </w:r>
      <w:r w:rsidRPr="00B9105B">
        <w:t>for inpatient payment under Medicare Part A. QIOs will approve these cases so long as other requirements are</w:t>
      </w:r>
      <w:r w:rsidRPr="00B9105B">
        <w:rPr>
          <w:spacing w:val="-13"/>
        </w:rPr>
        <w:t xml:space="preserve"> </w:t>
      </w:r>
      <w:r w:rsidRPr="00B9105B">
        <w:t>met.</w:t>
      </w:r>
    </w:p>
    <w:p w:rsidR="002E156F" w:rsidRPr="00B9105B" w:rsidRDefault="002E156F" w:rsidP="002E156F">
      <w:pPr>
        <w:pStyle w:val="Heading1"/>
        <w:tabs>
          <w:tab w:val="left" w:pos="401"/>
        </w:tabs>
        <w:ind w:left="400" w:right="154"/>
        <w:rPr>
          <w:b w:val="0"/>
          <w:bCs w:val="0"/>
        </w:rPr>
      </w:pPr>
    </w:p>
    <w:p w:rsidR="002E156F" w:rsidRDefault="002E156F" w:rsidP="002E156F">
      <w:pPr>
        <w:pStyle w:val="BodyText"/>
        <w:ind w:left="400" w:right="261"/>
      </w:pPr>
      <w:r w:rsidRPr="00B9105B">
        <w:rPr>
          <w:b/>
        </w:rPr>
        <w:t>B.1. Unforeseen Circumstances:</w:t>
      </w:r>
      <w:r>
        <w:rPr>
          <w:b/>
        </w:rPr>
        <w:t xml:space="preserve"> </w:t>
      </w:r>
      <w:r>
        <w:t xml:space="preserve">If an </w:t>
      </w:r>
      <w:r>
        <w:rPr>
          <w:rFonts w:cs="Times New Roman"/>
          <w:b/>
          <w:bCs/>
        </w:rPr>
        <w:t xml:space="preserve">unforeseen </w:t>
      </w:r>
      <w:r>
        <w:t>circumstance results in a shorter beneficiary stay than the physician’s reasonable</w:t>
      </w:r>
      <w:r>
        <w:rPr>
          <w:spacing w:val="-26"/>
        </w:rPr>
        <w:t xml:space="preserve"> </w:t>
      </w:r>
      <w:r>
        <w:t>expectation of at least 2 midnights, hospital inpatient payment may still be made under Medicare Part A despite the actual length of stay being less than 2 midnights. Such circumstances must be documented</w:t>
      </w:r>
      <w:r>
        <w:rPr>
          <w:spacing w:val="-19"/>
        </w:rPr>
        <w:t xml:space="preserve"> </w:t>
      </w:r>
      <w:r>
        <w:t>in the medical record in order to be considered upon medical review. Examples include unforeseen:</w:t>
      </w:r>
      <w:r>
        <w:rPr>
          <w:spacing w:val="-11"/>
        </w:rPr>
        <w:t xml:space="preserve"> </w:t>
      </w:r>
      <w:r>
        <w:t>death, transfer to another hospital, departure against medical advice, clinical improvement, and election of</w:t>
      </w:r>
      <w:r>
        <w:rPr>
          <w:spacing w:val="-13"/>
        </w:rPr>
        <w:t xml:space="preserve"> </w:t>
      </w:r>
      <w:r>
        <w:t>hospice care in lieu of continued treatment in the</w:t>
      </w:r>
      <w:r>
        <w:rPr>
          <w:spacing w:val="-10"/>
        </w:rPr>
        <w:t xml:space="preserve"> </w:t>
      </w:r>
      <w:r>
        <w:t>hospital.</w:t>
      </w:r>
    </w:p>
    <w:p w:rsidR="002E156F" w:rsidRPr="00123AEB" w:rsidRDefault="002E156F" w:rsidP="002E156F">
      <w:pPr>
        <w:pStyle w:val="Heading1"/>
        <w:tabs>
          <w:tab w:val="left" w:pos="401"/>
        </w:tabs>
        <w:ind w:left="400" w:right="154"/>
        <w:rPr>
          <w:b w:val="0"/>
          <w:bCs w:val="0"/>
        </w:rPr>
      </w:pPr>
    </w:p>
    <w:p w:rsidR="002E156F" w:rsidRDefault="002E156F" w:rsidP="002E156F">
      <w:pPr>
        <w:pStyle w:val="BodyText"/>
        <w:ind w:left="400" w:right="198" w:firstLine="45"/>
      </w:pPr>
      <w:r w:rsidRPr="002E156F">
        <w:rPr>
          <w:rFonts w:cs="Times New Roman"/>
          <w:b/>
          <w:bCs/>
        </w:rPr>
        <w:t>B.2 Documentation Requirements:</w:t>
      </w:r>
      <w:r>
        <w:rPr>
          <w:rFonts w:cs="Times New Roman"/>
          <w:bCs/>
          <w:sz w:val="23"/>
          <w:szCs w:val="23"/>
        </w:rPr>
        <w:t xml:space="preserve"> </w:t>
      </w:r>
      <w:r>
        <w:t>The 2-midnight benchmark is based upon the physician’s expectation of the required duration of</w:t>
      </w:r>
      <w:r>
        <w:rPr>
          <w:spacing w:val="-12"/>
        </w:rPr>
        <w:t xml:space="preserve"> </w:t>
      </w:r>
      <w:r>
        <w:t>medically necessary hospital services at the time the inpatient order is written and the formal admission begins. QIOs will, when conducting patient status reviews, consider complex medical factors that support a reasonable expectation of the needed duration of</w:t>
      </w:r>
      <w:r>
        <w:rPr>
          <w:spacing w:val="-13"/>
        </w:rPr>
        <w:t xml:space="preserve"> </w:t>
      </w:r>
      <w:r>
        <w:t>the stay relative to the 2-midnight benchmark. Both the decision to keep the beneficiary at the hospital and</w:t>
      </w:r>
      <w:r>
        <w:rPr>
          <w:spacing w:val="-18"/>
        </w:rPr>
        <w:t xml:space="preserve"> </w:t>
      </w:r>
      <w:r>
        <w:t>the expectation of needed duration of the stay are based on such complex medical factors as beneficiary</w:t>
      </w:r>
      <w:r>
        <w:rPr>
          <w:spacing w:val="-19"/>
        </w:rPr>
        <w:t xml:space="preserve"> </w:t>
      </w:r>
      <w:r>
        <w:t>medical</w:t>
      </w:r>
      <w:r>
        <w:rPr>
          <w:spacing w:val="-1"/>
        </w:rPr>
        <w:t xml:space="preserve"> </w:t>
      </w:r>
      <w:r>
        <w:t>history and comorbidities, the severity of signs and symptoms, current medical needs, and the risk</w:t>
      </w:r>
      <w:r>
        <w:rPr>
          <w:spacing w:val="-25"/>
        </w:rPr>
        <w:t xml:space="preserve"> </w:t>
      </w:r>
      <w:r>
        <w:t>(probability) of an adverse event occurring during the time period for which hospitalization is considered. In other words,</w:t>
      </w:r>
      <w:r>
        <w:rPr>
          <w:spacing w:val="-21"/>
        </w:rPr>
        <w:t xml:space="preserve"> </w:t>
      </w:r>
      <w:r>
        <w:t>if the reviewer determines, based on documentation in the medical record, that it was reasonable for the admitting physician to expect the beneficiary to require</w:t>
      </w:r>
      <w:r>
        <w:rPr>
          <w:spacing w:val="-16"/>
        </w:rPr>
        <w:t xml:space="preserve"> </w:t>
      </w:r>
      <w:r>
        <w:t xml:space="preserve">medically necessary hospital care lasting 2 midnights, </w:t>
      </w:r>
      <w:r>
        <w:rPr>
          <w:spacing w:val="-21"/>
        </w:rPr>
        <w:t xml:space="preserve">the </w:t>
      </w:r>
      <w:r>
        <w:t>inpatient admission is generally appropriate for payment under Medicare Part A; this is regardless</w:t>
      </w:r>
      <w:r>
        <w:rPr>
          <w:spacing w:val="-18"/>
        </w:rPr>
        <w:t xml:space="preserve"> </w:t>
      </w:r>
      <w:r>
        <w:t>of whether the anticipated length of stay did not transpire due to unforeseen circumstances (See section</w:t>
      </w:r>
      <w:r>
        <w:rPr>
          <w:spacing w:val="-20"/>
        </w:rPr>
        <w:t xml:space="preserve"> </w:t>
      </w:r>
      <w:r>
        <w:t>B1.)</w:t>
      </w:r>
    </w:p>
    <w:p w:rsidR="002E156F" w:rsidRDefault="002E156F" w:rsidP="002E156F">
      <w:pPr>
        <w:rPr>
          <w:rFonts w:ascii="Times New Roman" w:eastAsia="Times New Roman" w:hAnsi="Times New Roman" w:cs="Times New Roman"/>
          <w:sz w:val="24"/>
          <w:szCs w:val="24"/>
        </w:rPr>
      </w:pPr>
    </w:p>
    <w:p w:rsidR="002E156F" w:rsidRDefault="002E156F" w:rsidP="002E156F">
      <w:pPr>
        <w:pStyle w:val="BodyText"/>
        <w:ind w:left="400" w:right="133"/>
      </w:pPr>
      <w:r>
        <w:t>QIOs will continue to follow longstanding guidance to review the reasonableness of</w:t>
      </w:r>
      <w:r>
        <w:rPr>
          <w:spacing w:val="-20"/>
        </w:rPr>
        <w:t xml:space="preserve"> </w:t>
      </w:r>
      <w:r>
        <w:t>the inpatient admission for purposes of Part A payment based on the information known to the physician at the time of admission.</w:t>
      </w:r>
      <w:r>
        <w:rPr>
          <w:spacing w:val="43"/>
        </w:rPr>
        <w:t xml:space="preserve"> </w:t>
      </w:r>
      <w:r>
        <w:t xml:space="preserve">The expectation for sufficient documentation is well rooted in good medical practice </w:t>
      </w:r>
      <w:r w:rsidRPr="00497025">
        <w:t>“supported by evidence of medical necessity and quality in such form and fashion and at such time as may reasonably be required by a reviewing quality improvement organization in the exercise of its duties and responsibilities</w:t>
      </w:r>
      <w:r>
        <w:t>,” according to § 1156 of the Social Security Act. Physicians need not include</w:t>
      </w:r>
      <w:r>
        <w:rPr>
          <w:spacing w:val="-22"/>
        </w:rPr>
        <w:t xml:space="preserve"> </w:t>
      </w:r>
      <w:r>
        <w:t>a separate attestation of the expected length of stay; rather, this information may be inferred from the</w:t>
      </w:r>
      <w:r>
        <w:rPr>
          <w:spacing w:val="-25"/>
        </w:rPr>
        <w:t xml:space="preserve"> </w:t>
      </w:r>
      <w:r>
        <w:t>physician’s standard medical documentation, such as his or her plan of care, treatment orders, and physician’s</w:t>
      </w:r>
      <w:r>
        <w:rPr>
          <w:spacing w:val="-17"/>
        </w:rPr>
        <w:t xml:space="preserve"> </w:t>
      </w:r>
      <w:r>
        <w:t>notes.</w:t>
      </w:r>
    </w:p>
    <w:p w:rsidR="002E156F" w:rsidRDefault="002E156F" w:rsidP="002E156F">
      <w:pPr>
        <w:pStyle w:val="BodyText"/>
        <w:ind w:left="400" w:right="198"/>
      </w:pPr>
    </w:p>
    <w:p w:rsidR="002E156F" w:rsidRDefault="002E156F" w:rsidP="002E156F">
      <w:pPr>
        <w:pStyle w:val="BodyText"/>
        <w:ind w:left="400" w:right="198"/>
      </w:pPr>
      <w:r>
        <w:t>Expectation of time and the determination of the underlying need for medical care at the hospital are</w:t>
      </w:r>
      <w:r>
        <w:rPr>
          <w:spacing w:val="-24"/>
        </w:rPr>
        <w:t xml:space="preserve"> </w:t>
      </w:r>
      <w:r>
        <w:t>supported</w:t>
      </w:r>
      <w:r>
        <w:rPr>
          <w:spacing w:val="-1"/>
        </w:rPr>
        <w:t xml:space="preserve"> </w:t>
      </w:r>
      <w:r>
        <w:t>by complex medical factors such as history and comorbidities, the severity of signs and symptoms,</w:t>
      </w:r>
      <w:r>
        <w:rPr>
          <w:spacing w:val="-19"/>
        </w:rPr>
        <w:t xml:space="preserve"> </w:t>
      </w:r>
      <w:r>
        <w:t>current medical needs, and the risk of an adverse event. QIOs will expect such factors to be documented in the physician assessment and plan of care. The entire medical record may</w:t>
      </w:r>
      <w:r>
        <w:rPr>
          <w:spacing w:val="-15"/>
        </w:rPr>
        <w:t xml:space="preserve"> </w:t>
      </w:r>
      <w:r>
        <w:t>be reviewed to support or refute the reasonableness of the physician’s expectation, but entries after the point of the</w:t>
      </w:r>
      <w:r>
        <w:rPr>
          <w:spacing w:val="-16"/>
        </w:rPr>
        <w:t xml:space="preserve"> </w:t>
      </w:r>
      <w:r>
        <w:t>admission order are only used in the context of interpreting what the physician knew and expected at the time</w:t>
      </w:r>
      <w:r>
        <w:rPr>
          <w:spacing w:val="-17"/>
        </w:rPr>
        <w:t xml:space="preserve"> </w:t>
      </w:r>
      <w:r>
        <w:t xml:space="preserve">of admission. </w:t>
      </w:r>
    </w:p>
    <w:p w:rsidR="002E156F" w:rsidRDefault="002E156F" w:rsidP="002E156F">
      <w:pPr>
        <w:pStyle w:val="BodyText"/>
        <w:ind w:left="100" w:right="198"/>
      </w:pPr>
    </w:p>
    <w:p w:rsidR="002E156F" w:rsidRPr="002E156F" w:rsidRDefault="002E156F" w:rsidP="002E156F">
      <w:pPr>
        <w:spacing w:line="265" w:lineRule="exact"/>
        <w:ind w:firstLine="400"/>
        <w:rPr>
          <w:rFonts w:ascii="Times New Roman"/>
          <w:b/>
          <w:sz w:val="24"/>
          <w:szCs w:val="24"/>
        </w:rPr>
      </w:pPr>
      <w:r w:rsidRPr="002E156F">
        <w:rPr>
          <w:rFonts w:ascii="Times New Roman" w:eastAsia="Times New Roman" w:hAnsi="Times New Roman" w:cs="Times New Roman"/>
          <w:b/>
          <w:bCs/>
          <w:sz w:val="24"/>
          <w:szCs w:val="24"/>
        </w:rPr>
        <w:t>B.3. The 2 Midnight Benchmark and Outpatient Time:</w:t>
      </w:r>
      <w:r w:rsidRPr="002E156F">
        <w:rPr>
          <w:rFonts w:ascii="Times New Roman"/>
          <w:b/>
          <w:sz w:val="24"/>
          <w:szCs w:val="24"/>
        </w:rPr>
        <w:t xml:space="preserve">       </w:t>
      </w:r>
    </w:p>
    <w:p w:rsidR="002E156F" w:rsidRDefault="002E156F" w:rsidP="002E156F">
      <w:pPr>
        <w:spacing w:line="265" w:lineRule="exact"/>
        <w:ind w:firstLine="100"/>
        <w:rPr>
          <w:rFonts w:ascii="Times New Roman"/>
          <w:b/>
          <w:sz w:val="24"/>
        </w:rPr>
      </w:pPr>
    </w:p>
    <w:p w:rsidR="002E156F" w:rsidRDefault="002E156F" w:rsidP="002E156F">
      <w:pPr>
        <w:spacing w:line="265" w:lineRule="exact"/>
        <w:ind w:firstLine="720"/>
        <w:rPr>
          <w:rFonts w:ascii="Times New Roman" w:eastAsia="Times New Roman" w:hAnsi="Times New Roman" w:cs="Times New Roman"/>
          <w:sz w:val="24"/>
          <w:szCs w:val="24"/>
        </w:rPr>
      </w:pPr>
      <w:r>
        <w:rPr>
          <w:rFonts w:ascii="Times New Roman"/>
          <w:b/>
          <w:sz w:val="24"/>
        </w:rPr>
        <w:t xml:space="preserve">1.   </w:t>
      </w:r>
      <w:r>
        <w:rPr>
          <w:rFonts w:ascii="Times New Roman"/>
          <w:b/>
          <w:spacing w:val="-2"/>
          <w:sz w:val="24"/>
        </w:rPr>
        <w:t>G</w:t>
      </w:r>
      <w:r>
        <w:rPr>
          <w:rFonts w:ascii="Times New Roman"/>
          <w:b/>
          <w:spacing w:val="-1"/>
          <w:sz w:val="24"/>
        </w:rPr>
        <w:t>e</w:t>
      </w:r>
      <w:r>
        <w:rPr>
          <w:rFonts w:ascii="Times New Roman"/>
          <w:b/>
          <w:sz w:val="24"/>
        </w:rPr>
        <w:t>n</w:t>
      </w:r>
      <w:r>
        <w:rPr>
          <w:rFonts w:ascii="Times New Roman"/>
          <w:b/>
          <w:spacing w:val="1"/>
          <w:sz w:val="24"/>
        </w:rPr>
        <w:t>e</w:t>
      </w:r>
      <w:r>
        <w:rPr>
          <w:rFonts w:ascii="Times New Roman"/>
          <w:b/>
          <w:spacing w:val="-1"/>
          <w:sz w:val="24"/>
        </w:rPr>
        <w:t>r</w:t>
      </w:r>
      <w:r>
        <w:rPr>
          <w:rFonts w:ascii="Times New Roman"/>
          <w:b/>
          <w:sz w:val="24"/>
        </w:rPr>
        <w:t>al</w:t>
      </w:r>
    </w:p>
    <w:p w:rsidR="002E156F" w:rsidRDefault="002E156F" w:rsidP="002E156F">
      <w:pPr>
        <w:spacing w:before="10"/>
        <w:rPr>
          <w:rFonts w:ascii="Times New Roman" w:eastAsia="Times New Roman" w:hAnsi="Times New Roman" w:cs="Times New Roman"/>
          <w:sz w:val="15"/>
          <w:szCs w:val="15"/>
        </w:rPr>
      </w:pPr>
    </w:p>
    <w:p w:rsidR="002E156F" w:rsidRDefault="002E156F" w:rsidP="002E156F">
      <w:pPr>
        <w:pStyle w:val="BodyText"/>
        <w:spacing w:before="26" w:line="242" w:lineRule="auto"/>
        <w:ind w:left="720" w:right="1"/>
      </w:pPr>
      <w:r>
        <w:t>For purposes of determining whether the 2</w:t>
      </w:r>
      <w:r>
        <w:rPr>
          <w:rFonts w:ascii="MS Mincho" w:eastAsia="MS Mincho" w:hAnsi="MS Mincho" w:cs="MS Mincho"/>
        </w:rPr>
        <w:t>‑</w:t>
      </w:r>
      <w:r>
        <w:t xml:space="preserve">midnight benchmark was </w:t>
      </w:r>
      <w:r w:rsidR="006C64C7">
        <w:t>met the</w:t>
      </w:r>
      <w:r w:rsidR="00F86219">
        <w:t xml:space="preserve"> QIOs will review the claim to determine if either the benchmark is met or the medical record supports the determination that the </w:t>
      </w:r>
      <w:r w:rsidR="00F86219">
        <w:lastRenderedPageBreak/>
        <w:t>patient required inpatient care. U</w:t>
      </w:r>
      <w:r>
        <w:t>pon review, QIOs will consider time the beneficiary spent receiving outpatient services within the hospital prior to inpatient</w:t>
      </w:r>
      <w:r>
        <w:rPr>
          <w:spacing w:val="-24"/>
        </w:rPr>
        <w:t xml:space="preserve"> </w:t>
      </w:r>
      <w:r>
        <w:t>admission, in addition to the post-admission duration of care. This pre-admission time may include services such</w:t>
      </w:r>
      <w:r>
        <w:rPr>
          <w:spacing w:val="-15"/>
        </w:rPr>
        <w:t xml:space="preserve"> </w:t>
      </w:r>
      <w:r>
        <w:t>as</w:t>
      </w:r>
      <w:r>
        <w:rPr>
          <w:spacing w:val="-1"/>
        </w:rPr>
        <w:t xml:space="preserve"> </w:t>
      </w:r>
      <w:r>
        <w:t>observation services, treatments in the emergency department (ED), and procedures provided in the</w:t>
      </w:r>
      <w:r>
        <w:rPr>
          <w:spacing w:val="-17"/>
        </w:rPr>
        <w:t xml:space="preserve"> </w:t>
      </w:r>
      <w:r>
        <w:t>operating room or other treatment</w:t>
      </w:r>
      <w:r>
        <w:rPr>
          <w:spacing w:val="-8"/>
        </w:rPr>
        <w:t xml:space="preserve"> </w:t>
      </w:r>
      <w:r>
        <w:t>area.</w:t>
      </w:r>
    </w:p>
    <w:p w:rsidR="002E156F" w:rsidRDefault="002E156F" w:rsidP="002E156F">
      <w:pPr>
        <w:spacing w:before="2"/>
        <w:rPr>
          <w:rFonts w:ascii="Times New Roman" w:eastAsia="Times New Roman" w:hAnsi="Times New Roman" w:cs="Times New Roman"/>
          <w:sz w:val="24"/>
          <w:szCs w:val="24"/>
        </w:rPr>
      </w:pPr>
    </w:p>
    <w:p w:rsidR="002E156F" w:rsidRDefault="002E156F" w:rsidP="002E156F">
      <w:pPr>
        <w:pStyle w:val="Heading1"/>
        <w:ind w:left="0" w:right="154" w:firstLine="119"/>
        <w:rPr>
          <w:b w:val="0"/>
          <w:bCs w:val="0"/>
        </w:rPr>
      </w:pPr>
      <w:r>
        <w:t xml:space="preserve">       2.   2-Midnight Benchmark</w:t>
      </w:r>
      <w:r>
        <w:rPr>
          <w:spacing w:val="-12"/>
        </w:rPr>
        <w:t xml:space="preserve"> </w:t>
      </w:r>
      <w:r>
        <w:t>Reviews</w:t>
      </w:r>
    </w:p>
    <w:p w:rsidR="002E156F" w:rsidRDefault="002E156F" w:rsidP="002E156F">
      <w:pPr>
        <w:spacing w:before="7"/>
        <w:rPr>
          <w:rFonts w:ascii="Times New Roman" w:eastAsia="Times New Roman" w:hAnsi="Times New Roman" w:cs="Times New Roman"/>
          <w:b/>
          <w:bCs/>
          <w:sz w:val="23"/>
          <w:szCs w:val="23"/>
        </w:rPr>
      </w:pPr>
    </w:p>
    <w:p w:rsidR="002E156F" w:rsidRDefault="002E156F" w:rsidP="002E156F">
      <w:pPr>
        <w:pStyle w:val="BodyText"/>
        <w:ind w:left="720" w:right="261"/>
      </w:pPr>
      <w:r>
        <w:t>Whether the beneficiary receives services in the ED as an outpatient prior to inpatient admission (for</w:t>
      </w:r>
      <w:r>
        <w:rPr>
          <w:spacing w:val="-21"/>
        </w:rPr>
        <w:t xml:space="preserve"> </w:t>
      </w:r>
      <w:r>
        <w:t>example, receives observation services in the ED) or is formally admitted as an inpatient upon arrival at the hospital</w:t>
      </w:r>
      <w:r>
        <w:rPr>
          <w:spacing w:val="-24"/>
        </w:rPr>
        <w:t xml:space="preserve"> </w:t>
      </w:r>
      <w:r>
        <w:t>(for example, inpatient admission order written prior to an elective inpatient procedure), the starting point for the</w:t>
      </w:r>
      <w:r>
        <w:rPr>
          <w:spacing w:val="-22"/>
        </w:rPr>
        <w:t xml:space="preserve"> </w:t>
      </w:r>
      <w:r>
        <w:t>2 midnight timeframe for medical review purposes will be when the beneficiary starts receiving</w:t>
      </w:r>
      <w:r>
        <w:rPr>
          <w:spacing w:val="-18"/>
        </w:rPr>
        <w:t xml:space="preserve"> </w:t>
      </w:r>
      <w:r>
        <w:t>services</w:t>
      </w:r>
      <w:r>
        <w:rPr>
          <w:spacing w:val="-1"/>
        </w:rPr>
        <w:t xml:space="preserve"> </w:t>
      </w:r>
      <w:r>
        <w:t>following arrival at the</w:t>
      </w:r>
      <w:r>
        <w:rPr>
          <w:spacing w:val="-8"/>
        </w:rPr>
        <w:t xml:space="preserve"> </w:t>
      </w:r>
      <w:r>
        <w:t>hospital.</w:t>
      </w:r>
    </w:p>
    <w:p w:rsidR="002E156F" w:rsidRDefault="002E156F" w:rsidP="002E156F">
      <w:pPr>
        <w:rPr>
          <w:rFonts w:ascii="Times New Roman" w:eastAsia="Times New Roman" w:hAnsi="Times New Roman" w:cs="Times New Roman"/>
          <w:sz w:val="24"/>
          <w:szCs w:val="24"/>
        </w:rPr>
      </w:pPr>
    </w:p>
    <w:p w:rsidR="002E156F" w:rsidRDefault="002E156F" w:rsidP="002E156F">
      <w:pPr>
        <w:pStyle w:val="BodyText"/>
        <w:ind w:left="720" w:right="261"/>
      </w:pPr>
      <w:r>
        <w:t>For the purpose of determining whether the 2-midnight benchmark was met, QIOs will exclude triaging activities (such as vital signs) and wait times prior to the initiation</w:t>
      </w:r>
      <w:r>
        <w:rPr>
          <w:spacing w:val="-21"/>
        </w:rPr>
        <w:t xml:space="preserve"> </w:t>
      </w:r>
      <w:r>
        <w:t xml:space="preserve">of medically necessary services responsive to the beneficiary's clinical presentation. </w:t>
      </w:r>
      <w:r>
        <w:rPr>
          <w:spacing w:val="-3"/>
        </w:rPr>
        <w:t xml:space="preserve">If </w:t>
      </w:r>
      <w:r>
        <w:t>the triaging</w:t>
      </w:r>
      <w:r>
        <w:rPr>
          <w:spacing w:val="-13"/>
        </w:rPr>
        <w:t xml:space="preserve"> </w:t>
      </w:r>
      <w:r>
        <w:t>activities immediately precede the initiation of medically necessary and responsive services, it is the initiation</w:t>
      </w:r>
      <w:r>
        <w:rPr>
          <w:spacing w:val="-20"/>
        </w:rPr>
        <w:t xml:space="preserve"> </w:t>
      </w:r>
      <w:r>
        <w:t>of diagnostic or therapeutic services responsive to the beneficiary’s condition that QIOs will consider to “start the clock” for purposes of the 2 midnight benchmark. QIOs will not count the time a beneficiary spent in the ED waiting room while</w:t>
      </w:r>
      <w:r>
        <w:rPr>
          <w:spacing w:val="-21"/>
        </w:rPr>
        <w:t xml:space="preserve"> </w:t>
      </w:r>
      <w:r>
        <w:t>awaiting the start of</w:t>
      </w:r>
      <w:r>
        <w:rPr>
          <w:spacing w:val="-6"/>
        </w:rPr>
        <w:t xml:space="preserve"> </w:t>
      </w:r>
      <w:r>
        <w:t>treatment.</w:t>
      </w:r>
    </w:p>
    <w:p w:rsidR="002E156F" w:rsidRDefault="002E156F" w:rsidP="002E156F">
      <w:pPr>
        <w:rPr>
          <w:rFonts w:ascii="Times New Roman" w:eastAsia="Times New Roman" w:hAnsi="Times New Roman" w:cs="Times New Roman"/>
          <w:sz w:val="24"/>
          <w:szCs w:val="24"/>
        </w:rPr>
      </w:pPr>
    </w:p>
    <w:p w:rsidR="002E156F" w:rsidRDefault="002E156F" w:rsidP="002E156F">
      <w:pPr>
        <w:pStyle w:val="BodyText"/>
        <w:ind w:left="720" w:right="154"/>
      </w:pPr>
      <w:r>
        <w:t>In other words, a beneficiary sitting in the ED waiting room at midnight while awaiting the start of</w:t>
      </w:r>
      <w:r>
        <w:rPr>
          <w:spacing w:val="-32"/>
        </w:rPr>
        <w:t xml:space="preserve"> </w:t>
      </w:r>
      <w:r>
        <w:t>treatment would not be considered to have passed the first midnight, but a beneficiary receiving services in the ED</w:t>
      </w:r>
      <w:r>
        <w:rPr>
          <w:spacing w:val="-22"/>
        </w:rPr>
        <w:t xml:space="preserve"> </w:t>
      </w:r>
      <w:r>
        <w:t>at midnight would meet the first midnight of the</w:t>
      </w:r>
      <w:r>
        <w:rPr>
          <w:spacing w:val="-14"/>
        </w:rPr>
        <w:t xml:space="preserve"> </w:t>
      </w:r>
      <w:r>
        <w:t>benchmark.</w:t>
      </w:r>
    </w:p>
    <w:p w:rsidR="002E156F" w:rsidRDefault="002E156F" w:rsidP="002E156F">
      <w:pPr>
        <w:rPr>
          <w:rFonts w:ascii="Times New Roman" w:eastAsia="Times New Roman" w:hAnsi="Times New Roman" w:cs="Times New Roman"/>
          <w:sz w:val="24"/>
          <w:szCs w:val="24"/>
        </w:rPr>
      </w:pPr>
    </w:p>
    <w:p w:rsidR="002E156F" w:rsidRDefault="002E156F" w:rsidP="002E156F">
      <w:pPr>
        <w:pStyle w:val="BodyText"/>
        <w:spacing w:before="69"/>
        <w:ind w:left="720" w:right="154"/>
      </w:pPr>
      <w:r>
        <w:rPr>
          <w:rFonts w:cs="Times New Roman"/>
          <w:b/>
        </w:rPr>
        <w:t xml:space="preserve">B.4. The 2 Midnight Benchmark and Transfers: </w:t>
      </w:r>
      <w:r>
        <w:t>For the purpose of determining whether the 2-midnight benchmark was met, the QIO shall take into account the pre-transfer time and care provided to the beneficiary at the initial hospital. That</w:t>
      </w:r>
      <w:r>
        <w:rPr>
          <w:spacing w:val="-22"/>
        </w:rPr>
        <w:t xml:space="preserve"> </w:t>
      </w:r>
      <w:r>
        <w:t>is, the “clock” for transfers begins when the care begins in the initial hospital. Any excessive wait times or</w:t>
      </w:r>
      <w:r>
        <w:rPr>
          <w:spacing w:val="-24"/>
        </w:rPr>
        <w:t xml:space="preserve"> </w:t>
      </w:r>
      <w:r>
        <w:t>time spent in the hospital for non-medically necessary services shall be</w:t>
      </w:r>
      <w:r>
        <w:rPr>
          <w:spacing w:val="-15"/>
        </w:rPr>
        <w:t xml:space="preserve"> </w:t>
      </w:r>
      <w:r>
        <w:t>excluded.</w:t>
      </w:r>
    </w:p>
    <w:p w:rsidR="002E156F" w:rsidRDefault="002E156F" w:rsidP="002E156F">
      <w:pPr>
        <w:rPr>
          <w:rFonts w:ascii="Times New Roman" w:eastAsia="Times New Roman" w:hAnsi="Times New Roman" w:cs="Times New Roman"/>
          <w:sz w:val="24"/>
          <w:szCs w:val="24"/>
        </w:rPr>
      </w:pPr>
    </w:p>
    <w:p w:rsidR="002E156F" w:rsidRDefault="002E156F" w:rsidP="002E156F">
      <w:pPr>
        <w:pStyle w:val="BodyText"/>
        <w:ind w:left="720" w:right="162"/>
      </w:pPr>
      <w:r>
        <w:t>The QIOs may request records from the transferring hospital to support the medical</w:t>
      </w:r>
      <w:r>
        <w:rPr>
          <w:spacing w:val="-22"/>
        </w:rPr>
        <w:t xml:space="preserve"> </w:t>
      </w:r>
      <w:r>
        <w:t>necessity of the services provided and to verify when the beneficiary began receiving care to ensure compliance and</w:t>
      </w:r>
      <w:r>
        <w:rPr>
          <w:spacing w:val="-20"/>
        </w:rPr>
        <w:t xml:space="preserve"> </w:t>
      </w:r>
      <w:r>
        <w:t>deter gaming or abuse.  The initial hospital</w:t>
      </w:r>
      <w:r>
        <w:rPr>
          <w:spacing w:val="-20"/>
        </w:rPr>
        <w:t xml:space="preserve"> </w:t>
      </w:r>
      <w:r>
        <w:t>should continue to apply the 2-midnight benchmark based on the expected length of stay of the beneficiary for</w:t>
      </w:r>
      <w:r>
        <w:rPr>
          <w:spacing w:val="-21"/>
        </w:rPr>
        <w:t xml:space="preserve"> </w:t>
      </w:r>
      <w:r>
        <w:t>hospital care within their</w:t>
      </w:r>
      <w:r>
        <w:rPr>
          <w:spacing w:val="-8"/>
        </w:rPr>
        <w:t xml:space="preserve"> </w:t>
      </w:r>
      <w:r>
        <w:t>facility.</w:t>
      </w:r>
    </w:p>
    <w:p w:rsidR="002E156F" w:rsidRDefault="002E156F" w:rsidP="002E156F">
      <w:pPr>
        <w:spacing w:before="5"/>
        <w:rPr>
          <w:rFonts w:ascii="Times New Roman" w:eastAsia="Times New Roman" w:hAnsi="Times New Roman" w:cs="Times New Roman"/>
          <w:sz w:val="24"/>
          <w:szCs w:val="24"/>
        </w:rPr>
      </w:pPr>
    </w:p>
    <w:p w:rsidR="002E156F" w:rsidRDefault="002E156F" w:rsidP="002E156F">
      <w:pPr>
        <w:pStyle w:val="BodyText"/>
        <w:ind w:left="720" w:right="179"/>
      </w:pPr>
      <w:r>
        <w:rPr>
          <w:rFonts w:cs="Times New Roman"/>
          <w:b/>
        </w:rPr>
        <w:t xml:space="preserve">B.5. Delays in the Provision of Care: </w:t>
      </w:r>
      <w:r>
        <w:t>1862(a)(1)(A) of the Social Security Act statutorily limits Medicare payment to the provision of reasonable</w:t>
      </w:r>
      <w:r>
        <w:rPr>
          <w:spacing w:val="-28"/>
        </w:rPr>
        <w:t xml:space="preserve"> </w:t>
      </w:r>
      <w:r>
        <w:t>and necessary medical treatment. As such, CMS expects Medicare review contractors will continue to follow</w:t>
      </w:r>
      <w:r>
        <w:rPr>
          <w:spacing w:val="-19"/>
        </w:rPr>
        <w:t xml:space="preserve"> </w:t>
      </w:r>
      <w:r>
        <w:t>CMS' longstanding instruction that Medicare payment is prohibited for care rendered for social purposes or reasons</w:t>
      </w:r>
      <w:r>
        <w:rPr>
          <w:spacing w:val="-25"/>
        </w:rPr>
        <w:t xml:space="preserve"> </w:t>
      </w:r>
      <w:r>
        <w:t>of convenience. Therefore, QIOs will exclude extensive delays in</w:t>
      </w:r>
      <w:r>
        <w:rPr>
          <w:spacing w:val="-10"/>
        </w:rPr>
        <w:t xml:space="preserve"> </w:t>
      </w:r>
      <w:r>
        <w:t xml:space="preserve">the provision of medically necessary care from the 2 midnight benchmark calculation. QIOs will only count the time in which </w:t>
      </w:r>
      <w:r w:rsidRPr="00D24395">
        <w:t>the beneficiary received medically necessary</w:t>
      </w:r>
      <w:r w:rsidRPr="00D24395">
        <w:rPr>
          <w:spacing w:val="-21"/>
        </w:rPr>
        <w:t xml:space="preserve"> </w:t>
      </w:r>
      <w:r w:rsidRPr="00D24395">
        <w:t>hospital</w:t>
      </w:r>
      <w:r w:rsidRPr="00D24395">
        <w:rPr>
          <w:spacing w:val="-1"/>
        </w:rPr>
        <w:t xml:space="preserve"> </w:t>
      </w:r>
      <w:r w:rsidRPr="00D24395">
        <w:t>treatment. Factors that may result in an inconvenience to a beneficiary, family</w:t>
      </w:r>
      <w:r>
        <w:t>, physician or hospital do not,</w:t>
      </w:r>
      <w:r>
        <w:rPr>
          <w:spacing w:val="-21"/>
        </w:rPr>
        <w:t xml:space="preserve"> </w:t>
      </w:r>
      <w:r>
        <w:t>by themselves, justify Part A payment. When such factors affect the beneficiary's health, QIOs will consider them in determining whether inpatient hospitalization was</w:t>
      </w:r>
      <w:r>
        <w:rPr>
          <w:spacing w:val="-24"/>
        </w:rPr>
        <w:t xml:space="preserve"> </w:t>
      </w:r>
      <w:r>
        <w:t>reasonable and necessary for purposes of Part A payment. Without accompanying medical conditions, factors that would only cause the beneficiary inconvenience</w:t>
      </w:r>
      <w:r>
        <w:rPr>
          <w:spacing w:val="-18"/>
        </w:rPr>
        <w:t xml:space="preserve"> </w:t>
      </w:r>
      <w:r>
        <w:t>in terms of time and money needed to care for the beneficiary at home or for travel to a physician's office, or</w:t>
      </w:r>
      <w:r>
        <w:rPr>
          <w:spacing w:val="-24"/>
        </w:rPr>
        <w:t xml:space="preserve"> </w:t>
      </w:r>
      <w:r>
        <w:t>that</w:t>
      </w:r>
      <w:r>
        <w:rPr>
          <w:spacing w:val="-1"/>
        </w:rPr>
        <w:t xml:space="preserve"> </w:t>
      </w:r>
      <w:r>
        <w:t>may cause the beneficiary to worry, do not justify Part A payment for a continued hospital</w:t>
      </w:r>
      <w:r>
        <w:rPr>
          <w:spacing w:val="-16"/>
        </w:rPr>
        <w:t xml:space="preserve"> </w:t>
      </w:r>
      <w:r>
        <w:t>stay.</w:t>
      </w:r>
    </w:p>
    <w:p w:rsidR="002E156F" w:rsidRDefault="002E156F" w:rsidP="002E156F">
      <w:pPr>
        <w:spacing w:before="5"/>
        <w:rPr>
          <w:rFonts w:ascii="Times New Roman" w:eastAsia="Times New Roman" w:hAnsi="Times New Roman" w:cs="Times New Roman"/>
          <w:sz w:val="24"/>
          <w:szCs w:val="24"/>
        </w:rPr>
      </w:pPr>
    </w:p>
    <w:p w:rsidR="002E156F" w:rsidRPr="002D68AF" w:rsidRDefault="002E156F" w:rsidP="002E156F">
      <w:pPr>
        <w:ind w:left="720" w:right="198"/>
        <w:rPr>
          <w:rFonts w:ascii="Times New Roman" w:eastAsia="Times New Roman" w:hAnsi="Times New Roman" w:cs="Times New Roman"/>
          <w:sz w:val="24"/>
          <w:szCs w:val="24"/>
        </w:rPr>
      </w:pPr>
      <w:r>
        <w:rPr>
          <w:rFonts w:ascii="Times New Roman" w:eastAsia="Times New Roman" w:hAnsi="Times New Roman" w:cs="Times New Roman"/>
          <w:b/>
          <w:sz w:val="24"/>
          <w:szCs w:val="24"/>
        </w:rPr>
        <w:t>B.6. The Two Midnight Benchmark and Cancelled Surgical Procedures:</w:t>
      </w:r>
      <w:r>
        <w:rPr>
          <w:rFonts w:ascii="Times New Roman" w:eastAsia="Times New Roman" w:hAnsi="Times New Roman" w:cs="Times New Roman"/>
          <w:sz w:val="24"/>
          <w:szCs w:val="24"/>
        </w:rPr>
        <w:t xml:space="preserve"> </w:t>
      </w:r>
      <w:r>
        <w:rPr>
          <w:rFonts w:ascii="Times New Roman"/>
          <w:sz w:val="24"/>
        </w:rPr>
        <w:t>QIOs will</w:t>
      </w:r>
      <w:r w:rsidRPr="002D68AF">
        <w:rPr>
          <w:rFonts w:ascii="Times New Roman"/>
          <w:sz w:val="24"/>
        </w:rPr>
        <w:t xml:space="preserve"> review </w:t>
      </w:r>
      <w:r>
        <w:rPr>
          <w:rFonts w:ascii="Times New Roman"/>
          <w:sz w:val="24"/>
        </w:rPr>
        <w:t xml:space="preserve">the initial determination on paid Part A inpatient </w:t>
      </w:r>
      <w:r w:rsidRPr="002D68AF">
        <w:rPr>
          <w:rFonts w:ascii="Times New Roman"/>
          <w:sz w:val="24"/>
        </w:rPr>
        <w:t>claims in which a surgical procedure</w:t>
      </w:r>
      <w:r w:rsidRPr="002D68AF">
        <w:rPr>
          <w:rFonts w:ascii="Times New Roman"/>
          <w:spacing w:val="-11"/>
          <w:sz w:val="24"/>
        </w:rPr>
        <w:t xml:space="preserve"> </w:t>
      </w:r>
      <w:r w:rsidRPr="002D68AF">
        <w:rPr>
          <w:rFonts w:ascii="Times New Roman"/>
          <w:sz w:val="24"/>
        </w:rPr>
        <w:t xml:space="preserve">was cancelled based on the general 2-Midnight benchmark instruction. In other words, if </w:t>
      </w:r>
      <w:r w:rsidRPr="00D24395">
        <w:rPr>
          <w:rFonts w:ascii="Times New Roman"/>
          <w:sz w:val="24"/>
        </w:rPr>
        <w:t>the physician</w:t>
      </w:r>
      <w:r w:rsidRPr="00D24395">
        <w:rPr>
          <w:rFonts w:ascii="Times New Roman"/>
          <w:spacing w:val="-15"/>
          <w:sz w:val="24"/>
        </w:rPr>
        <w:t xml:space="preserve"> </w:t>
      </w:r>
      <w:r w:rsidRPr="00D24395">
        <w:rPr>
          <w:rFonts w:ascii="Times New Roman"/>
          <w:sz w:val="24"/>
        </w:rPr>
        <w:t>reasonably expects the beneficiary to require a hospital stay for 2 or more midnights at the time of the inpatient order</w:t>
      </w:r>
      <w:r w:rsidRPr="00D24395">
        <w:rPr>
          <w:rFonts w:ascii="Times New Roman"/>
          <w:spacing w:val="-17"/>
          <w:sz w:val="24"/>
        </w:rPr>
        <w:t xml:space="preserve"> </w:t>
      </w:r>
      <w:r w:rsidRPr="00D24395">
        <w:rPr>
          <w:rFonts w:ascii="Times New Roman"/>
          <w:sz w:val="24"/>
        </w:rPr>
        <w:t>and formal admission</w:t>
      </w:r>
      <w:r w:rsidRPr="002D68AF">
        <w:rPr>
          <w:rFonts w:ascii="Times New Roman"/>
          <w:sz w:val="24"/>
        </w:rPr>
        <w:t>, and this expectation is documented in the medical record, the inpatient admission</w:t>
      </w:r>
      <w:r w:rsidRPr="002D68AF">
        <w:rPr>
          <w:rFonts w:ascii="Times New Roman"/>
          <w:spacing w:val="-12"/>
          <w:sz w:val="24"/>
        </w:rPr>
        <w:t xml:space="preserve"> </w:t>
      </w:r>
      <w:r w:rsidRPr="002D68AF">
        <w:rPr>
          <w:rFonts w:ascii="Times New Roman"/>
          <w:sz w:val="24"/>
        </w:rPr>
        <w:t>is generally appropriate for Medicare Part A</w:t>
      </w:r>
      <w:r w:rsidRPr="002D68AF">
        <w:rPr>
          <w:rFonts w:ascii="Times New Roman"/>
          <w:spacing w:val="-9"/>
          <w:sz w:val="24"/>
        </w:rPr>
        <w:t xml:space="preserve"> </w:t>
      </w:r>
      <w:r w:rsidRPr="002D68AF">
        <w:rPr>
          <w:rFonts w:ascii="Times New Roman"/>
          <w:sz w:val="24"/>
        </w:rPr>
        <w:t>payment.</w:t>
      </w:r>
    </w:p>
    <w:p w:rsidR="002E156F" w:rsidRDefault="002E156F" w:rsidP="002E156F">
      <w:pPr>
        <w:spacing w:before="5"/>
        <w:rPr>
          <w:rFonts w:ascii="Times New Roman" w:eastAsia="Times New Roman" w:hAnsi="Times New Roman" w:cs="Times New Roman"/>
          <w:sz w:val="24"/>
          <w:szCs w:val="24"/>
        </w:rPr>
      </w:pPr>
    </w:p>
    <w:p w:rsidR="002E156F" w:rsidRPr="00614E75" w:rsidRDefault="002E156F" w:rsidP="002E156F">
      <w:pPr>
        <w:pStyle w:val="BodyText"/>
        <w:numPr>
          <w:ilvl w:val="0"/>
          <w:numId w:val="1"/>
        </w:numPr>
        <w:spacing w:before="69"/>
        <w:ind w:right="247"/>
      </w:pPr>
      <w:r>
        <w:rPr>
          <w:rFonts w:cs="Times New Roman"/>
          <w:b/>
        </w:rPr>
        <w:t>Monitoring Hospital Billing Behaviors for Gaming</w:t>
      </w:r>
    </w:p>
    <w:p w:rsidR="002E156F" w:rsidRDefault="002E156F" w:rsidP="002E156F">
      <w:pPr>
        <w:pStyle w:val="BodyText"/>
        <w:spacing w:before="69"/>
        <w:ind w:left="412" w:right="247"/>
      </w:pPr>
      <w:r>
        <w:t>CMS may monitor inpatient hospital claims spanning 2 or more midnights after admission for evidence</w:t>
      </w:r>
      <w:r>
        <w:rPr>
          <w:spacing w:val="-21"/>
        </w:rPr>
        <w:t xml:space="preserve"> </w:t>
      </w:r>
      <w:r>
        <w:t>of systematic gaming, abuse, or delays in the provision of care in an attempt to qualify for the</w:t>
      </w:r>
      <w:r>
        <w:rPr>
          <w:spacing w:val="-16"/>
        </w:rPr>
        <w:t xml:space="preserve"> </w:t>
      </w:r>
      <w:r>
        <w:t>2-midnight presumption. CMS may identify such trends through probe reviews</w:t>
      </w:r>
      <w:r>
        <w:rPr>
          <w:spacing w:val="-23"/>
        </w:rPr>
        <w:t xml:space="preserve"> </w:t>
      </w:r>
      <w:r>
        <w:t>and through its data sources, such as those provided by the Comprehensive Error Rate Testing (CERT)</w:t>
      </w:r>
      <w:r>
        <w:rPr>
          <w:spacing w:val="-21"/>
        </w:rPr>
        <w:t xml:space="preserve"> </w:t>
      </w:r>
      <w:r>
        <w:t>contractor, First-look Analysis for Hospital Outlier Monitoring (FATHOM) and Program for Evaluating Payment</w:t>
      </w:r>
      <w:r>
        <w:rPr>
          <w:spacing w:val="-28"/>
        </w:rPr>
        <w:t xml:space="preserve"> </w:t>
      </w:r>
      <w:r>
        <w:t>Patterns Electronic Report</w:t>
      </w:r>
      <w:r>
        <w:rPr>
          <w:spacing w:val="-11"/>
        </w:rPr>
        <w:t xml:space="preserve"> </w:t>
      </w:r>
      <w:r>
        <w:t>(PEPPER).</w:t>
      </w:r>
    </w:p>
    <w:p w:rsidR="002E156F" w:rsidRDefault="002E156F" w:rsidP="002E156F">
      <w:pPr>
        <w:spacing w:before="7"/>
        <w:rPr>
          <w:rFonts w:ascii="Times New Roman" w:eastAsia="Times New Roman" w:hAnsi="Times New Roman" w:cs="Times New Roman"/>
          <w:b/>
          <w:bCs/>
          <w:sz w:val="23"/>
          <w:szCs w:val="23"/>
        </w:rPr>
      </w:pPr>
    </w:p>
    <w:p w:rsidR="002E156F" w:rsidRDefault="002E156F" w:rsidP="002E156F"/>
    <w:p w:rsidR="002E156F" w:rsidRPr="002D68AF" w:rsidRDefault="002E156F" w:rsidP="002E156F">
      <w:pPr>
        <w:ind w:left="100" w:right="198"/>
        <w:rPr>
          <w:rFonts w:ascii="Times New Roman" w:eastAsia="Times New Roman" w:hAnsi="Times New Roman" w:cs="Times New Roman"/>
          <w:sz w:val="24"/>
          <w:szCs w:val="24"/>
        </w:rPr>
      </w:pPr>
    </w:p>
    <w:p w:rsidR="00BA0DF1" w:rsidRDefault="00BA0DF1"/>
    <w:sectPr w:rsidR="00BA0DF1" w:rsidSect="000D1A75">
      <w:headerReference w:type="default" r:id="rId8"/>
      <w:footerReference w:type="default" r:id="rId9"/>
      <w:headerReference w:type="first" r:id="rId10"/>
      <w:footerReference w:type="first" r:id="rId11"/>
      <w:pgSz w:w="12240" w:h="15840"/>
      <w:pgMar w:top="1520" w:right="600" w:bottom="280" w:left="620" w:header="743" w:footer="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5BC" w:rsidRDefault="000C65BC" w:rsidP="002E156F">
      <w:r>
        <w:separator/>
      </w:r>
    </w:p>
  </w:endnote>
  <w:endnote w:type="continuationSeparator" w:id="0">
    <w:p w:rsidR="000C65BC" w:rsidRDefault="000C65BC" w:rsidP="002E1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134" w:rsidRDefault="00940134">
    <w:pPr>
      <w:pStyle w:val="Footer"/>
      <w:jc w:val="right"/>
    </w:pPr>
  </w:p>
  <w:p w:rsidR="00940134" w:rsidRDefault="009401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A75" w:rsidRDefault="000D1A75">
    <w:pPr>
      <w:pStyle w:val="Footer"/>
      <w:jc w:val="right"/>
    </w:pPr>
  </w:p>
  <w:p w:rsidR="000D1A75" w:rsidRDefault="000D1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5BC" w:rsidRDefault="000C65BC" w:rsidP="002E156F">
      <w:r>
        <w:separator/>
      </w:r>
    </w:p>
  </w:footnote>
  <w:footnote w:type="continuationSeparator" w:id="0">
    <w:p w:rsidR="000C65BC" w:rsidRDefault="000C65BC" w:rsidP="002E15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A2" w:rsidRPr="002E156F" w:rsidRDefault="000C65BC">
    <w:pPr>
      <w:spacing w:line="14" w:lineRule="auto"/>
      <w:rPr>
        <w:rFonts w:ascii="Times New Roman" w:hAnsi="Times New Roman" w:cs="Times New Roman"/>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56F" w:rsidRPr="000D1A75" w:rsidRDefault="002E156F" w:rsidP="002E156F">
    <w:pPr>
      <w:rPr>
        <w:rFonts w:ascii="Times New Roman" w:hAnsi="Times New Roman" w:cs="Times New Roman"/>
        <w:color w:val="FF0000"/>
        <w:sz w:val="20"/>
        <w:szCs w:val="20"/>
      </w:rPr>
    </w:pPr>
    <w:r w:rsidRPr="000D1A75">
      <w:rPr>
        <w:rFonts w:ascii="Times New Roman" w:hAnsi="Times New Roman" w:cs="Times New Roman"/>
        <w:b/>
        <w:sz w:val="20"/>
        <w:szCs w:val="20"/>
      </w:rPr>
      <w:t xml:space="preserve">For the guidance prior to January 1, 2016, please see </w:t>
    </w:r>
    <w:hyperlink r:id="rId1" w:history="1">
      <w:r w:rsidRPr="000D1A75">
        <w:rPr>
          <w:rStyle w:val="Hyperlink"/>
          <w:rFonts w:ascii="Times New Roman" w:hAnsi="Times New Roman" w:cs="Times New Roman"/>
          <w:sz w:val="20"/>
          <w:szCs w:val="20"/>
        </w:rPr>
        <w:t>http://qioprogram.org/sites/default/files/20151109-ReviewingHospitalClaimsforAdmissionMemo%20Final.pdf</w:t>
      </w:r>
    </w:hyperlink>
    <w:r w:rsidRPr="000D1A75">
      <w:rPr>
        <w:rFonts w:ascii="Times New Roman" w:hAnsi="Times New Roman" w:cs="Times New Roman"/>
        <w:color w:val="000000"/>
        <w:sz w:val="20"/>
        <w:szCs w:val="20"/>
      </w:rPr>
      <w:t xml:space="preserve">. </w:t>
    </w:r>
  </w:p>
  <w:p w:rsidR="007F4DEC" w:rsidRPr="000D1A75" w:rsidRDefault="007F4DEC" w:rsidP="002E156F">
    <w:pPr>
      <w:rPr>
        <w:rFonts w:ascii="Times New Roman" w:hAnsi="Times New Roman" w:cs="Times New Roman"/>
        <w:color w:val="FF0000"/>
        <w:sz w:val="20"/>
        <w:szCs w:val="20"/>
      </w:rPr>
    </w:pPr>
  </w:p>
  <w:p w:rsidR="002E156F" w:rsidRDefault="007F4DEC" w:rsidP="0031249E">
    <w:pPr>
      <w:rPr>
        <w:rFonts w:ascii="Times New Roman" w:hAnsi="Times New Roman" w:cs="Times New Roman"/>
        <w:color w:val="0000FF"/>
        <w:sz w:val="20"/>
        <w:szCs w:val="20"/>
      </w:rPr>
    </w:pPr>
    <w:r w:rsidRPr="000D1A75">
      <w:rPr>
        <w:rFonts w:ascii="Times New Roman" w:hAnsi="Times New Roman" w:cs="Times New Roman"/>
        <w:b/>
        <w:sz w:val="20"/>
        <w:szCs w:val="20"/>
      </w:rPr>
      <w:t>For the guidance on or after January 1, 2016, please see</w:t>
    </w:r>
    <w:r w:rsidRPr="000D1A75">
      <w:rPr>
        <w:rFonts w:ascii="Times New Roman" w:hAnsi="Times New Roman" w:cs="Times New Roman"/>
        <w:sz w:val="20"/>
        <w:szCs w:val="20"/>
      </w:rPr>
      <w:t xml:space="preserve"> </w:t>
    </w:r>
    <w:hyperlink r:id="rId2" w:history="1">
      <w:r w:rsidR="000D1A75" w:rsidRPr="00A937B3">
        <w:rPr>
          <w:rStyle w:val="Hyperlink"/>
          <w:rFonts w:ascii="Times New Roman" w:hAnsi="Times New Roman" w:cs="Times New Roman"/>
          <w:sz w:val="20"/>
          <w:szCs w:val="20"/>
        </w:rPr>
        <w:t>http://qioprogram.org/announcements</w:t>
      </w:r>
    </w:hyperlink>
  </w:p>
  <w:p w:rsidR="0031249E" w:rsidRPr="000D1A75" w:rsidRDefault="0031249E">
    <w:pPr>
      <w:pStyle w:val="Header"/>
      <w:rPr>
        <w:rFonts w:ascii="Times New Roman" w:hAnsi="Times New Roman" w:cs="Times New Roman"/>
        <w:b/>
        <w:sz w:val="20"/>
        <w:szCs w:val="20"/>
      </w:rPr>
    </w:pPr>
  </w:p>
  <w:p w:rsidR="002E156F" w:rsidRPr="000D1A75" w:rsidRDefault="002E156F">
    <w:pPr>
      <w:pStyle w:val="Header"/>
      <w:rPr>
        <w:rFonts w:ascii="Times New Roman" w:hAnsi="Times New Roman" w:cs="Times New Roman"/>
        <w:sz w:val="20"/>
        <w:szCs w:val="20"/>
      </w:rPr>
    </w:pPr>
    <w:r w:rsidRPr="000D1A75">
      <w:rPr>
        <w:rFonts w:ascii="Times New Roman" w:hAnsi="Times New Roman" w:cs="Times New Roman"/>
        <w:b/>
        <w:sz w:val="20"/>
        <w:szCs w:val="20"/>
      </w:rPr>
      <w:t xml:space="preserve">cms.gov </w:t>
    </w:r>
    <w:hyperlink r:id="rId3" w:history="1">
      <w:r w:rsidRPr="000D1A75">
        <w:rPr>
          <w:rStyle w:val="Hyperlink"/>
          <w:rFonts w:ascii="Times New Roman" w:hAnsi="Times New Roman" w:cs="Times New Roman"/>
          <w:sz w:val="20"/>
          <w:szCs w:val="20"/>
        </w:rPr>
        <w:t>https://www.cms.gov/research-statistics-data-and-systems/monitoring-programs/medicare-ffs-compliance-programs/medical-review/inpatienthospitalreviews.html</w:t>
      </w:r>
    </w:hyperlink>
  </w:p>
  <w:p w:rsidR="002E156F" w:rsidRPr="0031249E" w:rsidRDefault="002E156F">
    <w:pPr>
      <w:pStyle w:val="Header"/>
      <w:rPr>
        <w:rFonts w:ascii="Times New Roman" w:hAnsi="Times New Roman" w:cs="Times New Roman"/>
        <w:sz w:val="18"/>
        <w:szCs w:val="18"/>
      </w:rPr>
    </w:pPr>
  </w:p>
  <w:p w:rsidR="002E156F" w:rsidRDefault="002E156F">
    <w:pPr>
      <w:pStyle w:val="Header"/>
    </w:pPr>
  </w:p>
  <w:p w:rsidR="002E156F" w:rsidRDefault="002E156F">
    <w:pPr>
      <w:pStyle w:val="Header"/>
    </w:pPr>
    <w:r>
      <w:rPr>
        <w:rFonts w:ascii="Times New Roman" w:eastAsia="Times New Roman" w:hAnsi="Times New Roman" w:cs="Times New Roman"/>
        <w:noProof/>
        <w:position w:val="-18"/>
        <w:sz w:val="20"/>
        <w:szCs w:val="20"/>
      </w:rPr>
      <w:drawing>
        <wp:inline distT="0" distB="0" distL="0" distR="0" wp14:anchorId="52E04F13" wp14:editId="02467974">
          <wp:extent cx="1713005" cy="591311"/>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713005" cy="59131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0DF7"/>
    <w:multiLevelType w:val="hybridMultilevel"/>
    <w:tmpl w:val="1DEE82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F51840"/>
    <w:multiLevelType w:val="hybridMultilevel"/>
    <w:tmpl w:val="4B766B08"/>
    <w:lvl w:ilvl="0" w:tplc="B36820EA">
      <w:start w:val="1"/>
      <w:numFmt w:val="lowerLetter"/>
      <w:lvlText w:val="%1."/>
      <w:lvlJc w:val="left"/>
      <w:pPr>
        <w:ind w:left="720" w:hanging="360"/>
      </w:pPr>
      <w:rPr>
        <w:rFonts w:ascii="Times New Roman" w:hAnsi="Times New Roman" w:cs="Times New Roman" w:hint="default"/>
        <w:b w:val="0"/>
        <w:i w:val="0"/>
        <w:sz w:val="24"/>
        <w:szCs w:val="24"/>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165E09"/>
    <w:multiLevelType w:val="hybridMultilevel"/>
    <w:tmpl w:val="FDDC74CA"/>
    <w:lvl w:ilvl="0" w:tplc="FEBE644C">
      <w:start w:val="1"/>
      <w:numFmt w:val="upperRoman"/>
      <w:lvlText w:val="%1."/>
      <w:lvlJc w:val="left"/>
      <w:pPr>
        <w:ind w:left="840" w:hanging="720"/>
      </w:pPr>
      <w:rPr>
        <w:rFonts w:ascii="Times New Roman" w:eastAsia="Times New Roman" w:hAnsi="Times New Roman" w:hint="default"/>
        <w:b/>
        <w:bCs/>
        <w:w w:val="100"/>
        <w:sz w:val="24"/>
        <w:szCs w:val="24"/>
        <w:u w:val="none"/>
      </w:rPr>
    </w:lvl>
    <w:lvl w:ilvl="1" w:tplc="572A4EF0">
      <w:start w:val="1"/>
      <w:numFmt w:val="bullet"/>
      <w:lvlText w:val="•"/>
      <w:lvlJc w:val="left"/>
      <w:pPr>
        <w:ind w:left="1852" w:hanging="720"/>
      </w:pPr>
      <w:rPr>
        <w:rFonts w:hint="default"/>
      </w:rPr>
    </w:lvl>
    <w:lvl w:ilvl="2" w:tplc="BB321738">
      <w:start w:val="1"/>
      <w:numFmt w:val="bullet"/>
      <w:lvlText w:val="•"/>
      <w:lvlJc w:val="left"/>
      <w:pPr>
        <w:ind w:left="2864" w:hanging="720"/>
      </w:pPr>
      <w:rPr>
        <w:rFonts w:hint="default"/>
      </w:rPr>
    </w:lvl>
    <w:lvl w:ilvl="3" w:tplc="27D8D340">
      <w:start w:val="1"/>
      <w:numFmt w:val="bullet"/>
      <w:lvlText w:val="•"/>
      <w:lvlJc w:val="left"/>
      <w:pPr>
        <w:ind w:left="3876" w:hanging="720"/>
      </w:pPr>
      <w:rPr>
        <w:rFonts w:hint="default"/>
      </w:rPr>
    </w:lvl>
    <w:lvl w:ilvl="4" w:tplc="DFB23F34">
      <w:start w:val="1"/>
      <w:numFmt w:val="bullet"/>
      <w:lvlText w:val="•"/>
      <w:lvlJc w:val="left"/>
      <w:pPr>
        <w:ind w:left="4888" w:hanging="720"/>
      </w:pPr>
      <w:rPr>
        <w:rFonts w:hint="default"/>
      </w:rPr>
    </w:lvl>
    <w:lvl w:ilvl="5" w:tplc="21620BF4">
      <w:start w:val="1"/>
      <w:numFmt w:val="bullet"/>
      <w:lvlText w:val="•"/>
      <w:lvlJc w:val="left"/>
      <w:pPr>
        <w:ind w:left="5900" w:hanging="720"/>
      </w:pPr>
      <w:rPr>
        <w:rFonts w:hint="default"/>
      </w:rPr>
    </w:lvl>
    <w:lvl w:ilvl="6" w:tplc="042A21BA">
      <w:start w:val="1"/>
      <w:numFmt w:val="bullet"/>
      <w:lvlText w:val="•"/>
      <w:lvlJc w:val="left"/>
      <w:pPr>
        <w:ind w:left="6912" w:hanging="720"/>
      </w:pPr>
      <w:rPr>
        <w:rFonts w:hint="default"/>
      </w:rPr>
    </w:lvl>
    <w:lvl w:ilvl="7" w:tplc="45788918">
      <w:start w:val="1"/>
      <w:numFmt w:val="bullet"/>
      <w:lvlText w:val="•"/>
      <w:lvlJc w:val="left"/>
      <w:pPr>
        <w:ind w:left="7924" w:hanging="720"/>
      </w:pPr>
      <w:rPr>
        <w:rFonts w:hint="default"/>
      </w:rPr>
    </w:lvl>
    <w:lvl w:ilvl="8" w:tplc="EFAE8412">
      <w:start w:val="1"/>
      <w:numFmt w:val="bullet"/>
      <w:lvlText w:val="•"/>
      <w:lvlJc w:val="left"/>
      <w:pPr>
        <w:ind w:left="8936" w:hanging="720"/>
      </w:pPr>
      <w:rPr>
        <w:rFonts w:hint="default"/>
      </w:rPr>
    </w:lvl>
  </w:abstractNum>
  <w:abstractNum w:abstractNumId="3">
    <w:nsid w:val="1A765B48"/>
    <w:multiLevelType w:val="hybridMultilevel"/>
    <w:tmpl w:val="228A6792"/>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4">
    <w:nsid w:val="240D3E9D"/>
    <w:multiLevelType w:val="hybridMultilevel"/>
    <w:tmpl w:val="B00AF6E0"/>
    <w:lvl w:ilvl="0" w:tplc="B350B5A8">
      <w:start w:val="1"/>
      <w:numFmt w:val="lowerLetter"/>
      <w:lvlText w:val="%1)"/>
      <w:lvlJc w:val="left"/>
      <w:pPr>
        <w:ind w:left="1200" w:hanging="360"/>
      </w:pPr>
      <w:rPr>
        <w:rFonts w:ascii="Times New Roman" w:eastAsia="Times New Roman" w:hAnsi="Times New Roman" w:hint="default"/>
        <w:spacing w:val="-1"/>
        <w:w w:val="100"/>
        <w:sz w:val="24"/>
        <w:szCs w:val="24"/>
      </w:rPr>
    </w:lvl>
    <w:lvl w:ilvl="1" w:tplc="686A41F2">
      <w:start w:val="1"/>
      <w:numFmt w:val="bullet"/>
      <w:lvlText w:val="•"/>
      <w:lvlJc w:val="left"/>
      <w:pPr>
        <w:ind w:left="2176" w:hanging="360"/>
      </w:pPr>
      <w:rPr>
        <w:rFonts w:hint="default"/>
      </w:rPr>
    </w:lvl>
    <w:lvl w:ilvl="2" w:tplc="58286402">
      <w:start w:val="1"/>
      <w:numFmt w:val="bullet"/>
      <w:lvlText w:val="•"/>
      <w:lvlJc w:val="left"/>
      <w:pPr>
        <w:ind w:left="3152" w:hanging="360"/>
      </w:pPr>
      <w:rPr>
        <w:rFonts w:hint="default"/>
      </w:rPr>
    </w:lvl>
    <w:lvl w:ilvl="3" w:tplc="F4FC16D4">
      <w:start w:val="1"/>
      <w:numFmt w:val="bullet"/>
      <w:lvlText w:val="•"/>
      <w:lvlJc w:val="left"/>
      <w:pPr>
        <w:ind w:left="4128" w:hanging="360"/>
      </w:pPr>
      <w:rPr>
        <w:rFonts w:hint="default"/>
      </w:rPr>
    </w:lvl>
    <w:lvl w:ilvl="4" w:tplc="2C82EA36">
      <w:start w:val="1"/>
      <w:numFmt w:val="bullet"/>
      <w:lvlText w:val="•"/>
      <w:lvlJc w:val="left"/>
      <w:pPr>
        <w:ind w:left="5104" w:hanging="360"/>
      </w:pPr>
      <w:rPr>
        <w:rFonts w:hint="default"/>
      </w:rPr>
    </w:lvl>
    <w:lvl w:ilvl="5" w:tplc="BAD0387E">
      <w:start w:val="1"/>
      <w:numFmt w:val="bullet"/>
      <w:lvlText w:val="•"/>
      <w:lvlJc w:val="left"/>
      <w:pPr>
        <w:ind w:left="6080" w:hanging="360"/>
      </w:pPr>
      <w:rPr>
        <w:rFonts w:hint="default"/>
      </w:rPr>
    </w:lvl>
    <w:lvl w:ilvl="6" w:tplc="9F82E920">
      <w:start w:val="1"/>
      <w:numFmt w:val="bullet"/>
      <w:lvlText w:val="•"/>
      <w:lvlJc w:val="left"/>
      <w:pPr>
        <w:ind w:left="7056" w:hanging="360"/>
      </w:pPr>
      <w:rPr>
        <w:rFonts w:hint="default"/>
      </w:rPr>
    </w:lvl>
    <w:lvl w:ilvl="7" w:tplc="041626A2">
      <w:start w:val="1"/>
      <w:numFmt w:val="bullet"/>
      <w:lvlText w:val="•"/>
      <w:lvlJc w:val="left"/>
      <w:pPr>
        <w:ind w:left="8032" w:hanging="360"/>
      </w:pPr>
      <w:rPr>
        <w:rFonts w:hint="default"/>
      </w:rPr>
    </w:lvl>
    <w:lvl w:ilvl="8" w:tplc="5E462B90">
      <w:start w:val="1"/>
      <w:numFmt w:val="bullet"/>
      <w:lvlText w:val="•"/>
      <w:lvlJc w:val="left"/>
      <w:pPr>
        <w:ind w:left="9008" w:hanging="360"/>
      </w:pPr>
      <w:rPr>
        <w:rFonts w:hint="default"/>
      </w:rPr>
    </w:lvl>
  </w:abstractNum>
  <w:abstractNum w:abstractNumId="5">
    <w:nsid w:val="5E342C8C"/>
    <w:multiLevelType w:val="hybridMultilevel"/>
    <w:tmpl w:val="49D86FD6"/>
    <w:lvl w:ilvl="0" w:tplc="F1608406">
      <w:start w:val="1"/>
      <w:numFmt w:val="upperLetter"/>
      <w:lvlText w:val="%1."/>
      <w:lvlJc w:val="left"/>
      <w:pPr>
        <w:ind w:left="412" w:hanging="293"/>
      </w:pPr>
      <w:rPr>
        <w:rFonts w:ascii="Times New Roman" w:eastAsia="Times New Roman" w:hAnsi="Times New Roman" w:hint="default"/>
        <w:b/>
        <w:bCs/>
        <w:spacing w:val="-1"/>
        <w:w w:val="100"/>
        <w:sz w:val="24"/>
        <w:szCs w:val="24"/>
      </w:rPr>
    </w:lvl>
    <w:lvl w:ilvl="1" w:tplc="5CD855A8">
      <w:start w:val="1"/>
      <w:numFmt w:val="decimal"/>
      <w:lvlText w:val="%2."/>
      <w:lvlJc w:val="left"/>
      <w:pPr>
        <w:ind w:left="840" w:hanging="360"/>
      </w:pPr>
      <w:rPr>
        <w:rFonts w:ascii="Times New Roman" w:eastAsia="Times New Roman" w:hAnsi="Times New Roman" w:hint="default"/>
        <w:b/>
        <w:bCs/>
        <w:w w:val="100"/>
        <w:sz w:val="24"/>
        <w:szCs w:val="24"/>
      </w:rPr>
    </w:lvl>
    <w:lvl w:ilvl="2" w:tplc="9FC620A4">
      <w:start w:val="1"/>
      <w:numFmt w:val="bullet"/>
      <w:lvlText w:val="•"/>
      <w:lvlJc w:val="left"/>
      <w:pPr>
        <w:ind w:left="1973" w:hanging="360"/>
      </w:pPr>
      <w:rPr>
        <w:rFonts w:hint="default"/>
      </w:rPr>
    </w:lvl>
    <w:lvl w:ilvl="3" w:tplc="AF444490">
      <w:start w:val="1"/>
      <w:numFmt w:val="bullet"/>
      <w:lvlText w:val="•"/>
      <w:lvlJc w:val="left"/>
      <w:pPr>
        <w:ind w:left="3106" w:hanging="360"/>
      </w:pPr>
      <w:rPr>
        <w:rFonts w:hint="default"/>
      </w:rPr>
    </w:lvl>
    <w:lvl w:ilvl="4" w:tplc="DD98D036">
      <w:start w:val="1"/>
      <w:numFmt w:val="bullet"/>
      <w:lvlText w:val="•"/>
      <w:lvlJc w:val="left"/>
      <w:pPr>
        <w:ind w:left="4240" w:hanging="360"/>
      </w:pPr>
      <w:rPr>
        <w:rFonts w:hint="default"/>
      </w:rPr>
    </w:lvl>
    <w:lvl w:ilvl="5" w:tplc="3A8A3624">
      <w:start w:val="1"/>
      <w:numFmt w:val="bullet"/>
      <w:lvlText w:val="•"/>
      <w:lvlJc w:val="left"/>
      <w:pPr>
        <w:ind w:left="5373" w:hanging="360"/>
      </w:pPr>
      <w:rPr>
        <w:rFonts w:hint="default"/>
      </w:rPr>
    </w:lvl>
    <w:lvl w:ilvl="6" w:tplc="691E01B8">
      <w:start w:val="1"/>
      <w:numFmt w:val="bullet"/>
      <w:lvlText w:val="•"/>
      <w:lvlJc w:val="left"/>
      <w:pPr>
        <w:ind w:left="6506" w:hanging="360"/>
      </w:pPr>
      <w:rPr>
        <w:rFonts w:hint="default"/>
      </w:rPr>
    </w:lvl>
    <w:lvl w:ilvl="7" w:tplc="6068E28A">
      <w:start w:val="1"/>
      <w:numFmt w:val="bullet"/>
      <w:lvlText w:val="•"/>
      <w:lvlJc w:val="left"/>
      <w:pPr>
        <w:ind w:left="7640" w:hanging="360"/>
      </w:pPr>
      <w:rPr>
        <w:rFonts w:hint="default"/>
      </w:rPr>
    </w:lvl>
    <w:lvl w:ilvl="8" w:tplc="5EECE39A">
      <w:start w:val="1"/>
      <w:numFmt w:val="bullet"/>
      <w:lvlText w:val="•"/>
      <w:lvlJc w:val="left"/>
      <w:pPr>
        <w:ind w:left="8773" w:hanging="36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56F"/>
    <w:rsid w:val="00002279"/>
    <w:rsid w:val="000C141F"/>
    <w:rsid w:val="000C3048"/>
    <w:rsid w:val="000C65BC"/>
    <w:rsid w:val="000D1A75"/>
    <w:rsid w:val="001466FC"/>
    <w:rsid w:val="00156462"/>
    <w:rsid w:val="002071FA"/>
    <w:rsid w:val="0022153E"/>
    <w:rsid w:val="002E156F"/>
    <w:rsid w:val="0031249E"/>
    <w:rsid w:val="00446EEE"/>
    <w:rsid w:val="004B19F3"/>
    <w:rsid w:val="00556DD7"/>
    <w:rsid w:val="006027B2"/>
    <w:rsid w:val="006C64C7"/>
    <w:rsid w:val="006E164A"/>
    <w:rsid w:val="007F4DEC"/>
    <w:rsid w:val="008A5FFE"/>
    <w:rsid w:val="00940134"/>
    <w:rsid w:val="00960CDE"/>
    <w:rsid w:val="00A07EE1"/>
    <w:rsid w:val="00A467EF"/>
    <w:rsid w:val="00AD6C23"/>
    <w:rsid w:val="00B80F39"/>
    <w:rsid w:val="00BA0DF1"/>
    <w:rsid w:val="00D0507D"/>
    <w:rsid w:val="00E02504"/>
    <w:rsid w:val="00E62FF1"/>
    <w:rsid w:val="00E80797"/>
    <w:rsid w:val="00EB15B4"/>
    <w:rsid w:val="00F4718A"/>
    <w:rsid w:val="00F86219"/>
    <w:rsid w:val="00FA2150"/>
    <w:rsid w:val="00FF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156F"/>
    <w:pPr>
      <w:widowControl w:val="0"/>
      <w:spacing w:after="0" w:line="240" w:lineRule="auto"/>
    </w:pPr>
  </w:style>
  <w:style w:type="paragraph" w:styleId="Heading1">
    <w:name w:val="heading 1"/>
    <w:basedOn w:val="Normal"/>
    <w:link w:val="Heading1Char"/>
    <w:uiPriority w:val="1"/>
    <w:qFormat/>
    <w:rsid w:val="002E156F"/>
    <w:pPr>
      <w:ind w:left="8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56F"/>
    <w:rPr>
      <w:rFonts w:ascii="Times New Roman" w:eastAsia="Times New Roman" w:hAnsi="Times New Roman"/>
      <w:b/>
      <w:bCs/>
      <w:sz w:val="24"/>
      <w:szCs w:val="24"/>
    </w:rPr>
  </w:style>
  <w:style w:type="paragraph" w:styleId="BodyText">
    <w:name w:val="Body Text"/>
    <w:basedOn w:val="Normal"/>
    <w:link w:val="BodyTextChar"/>
    <w:uiPriority w:val="1"/>
    <w:qFormat/>
    <w:rsid w:val="002E156F"/>
    <w:pPr>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E156F"/>
    <w:rPr>
      <w:rFonts w:ascii="Times New Roman" w:eastAsia="Times New Roman" w:hAnsi="Times New Roman"/>
      <w:sz w:val="24"/>
      <w:szCs w:val="24"/>
    </w:rPr>
  </w:style>
  <w:style w:type="paragraph" w:styleId="ListParagraph">
    <w:name w:val="List Paragraph"/>
    <w:basedOn w:val="Normal"/>
    <w:link w:val="ListParagraphChar"/>
    <w:uiPriority w:val="34"/>
    <w:qFormat/>
    <w:rsid w:val="002E156F"/>
  </w:style>
  <w:style w:type="paragraph" w:styleId="CommentText">
    <w:name w:val="annotation text"/>
    <w:basedOn w:val="Normal"/>
    <w:link w:val="CommentTextChar"/>
    <w:uiPriority w:val="99"/>
    <w:unhideWhenUsed/>
    <w:rsid w:val="002E156F"/>
    <w:rPr>
      <w:sz w:val="20"/>
      <w:szCs w:val="20"/>
    </w:rPr>
  </w:style>
  <w:style w:type="character" w:customStyle="1" w:styleId="CommentTextChar">
    <w:name w:val="Comment Text Char"/>
    <w:basedOn w:val="DefaultParagraphFont"/>
    <w:link w:val="CommentText"/>
    <w:uiPriority w:val="99"/>
    <w:rsid w:val="002E156F"/>
    <w:rPr>
      <w:sz w:val="20"/>
      <w:szCs w:val="20"/>
    </w:rPr>
  </w:style>
  <w:style w:type="character" w:customStyle="1" w:styleId="ListParagraphChar">
    <w:name w:val="List Paragraph Char"/>
    <w:basedOn w:val="DefaultParagraphFont"/>
    <w:link w:val="ListParagraph"/>
    <w:uiPriority w:val="34"/>
    <w:locked/>
    <w:rsid w:val="002E156F"/>
  </w:style>
  <w:style w:type="paragraph" w:styleId="Header">
    <w:name w:val="header"/>
    <w:basedOn w:val="Normal"/>
    <w:link w:val="HeaderChar"/>
    <w:uiPriority w:val="99"/>
    <w:unhideWhenUsed/>
    <w:rsid w:val="002E156F"/>
    <w:pPr>
      <w:tabs>
        <w:tab w:val="center" w:pos="4680"/>
        <w:tab w:val="right" w:pos="9360"/>
      </w:tabs>
    </w:pPr>
  </w:style>
  <w:style w:type="character" w:customStyle="1" w:styleId="HeaderChar">
    <w:name w:val="Header Char"/>
    <w:basedOn w:val="DefaultParagraphFont"/>
    <w:link w:val="Header"/>
    <w:uiPriority w:val="99"/>
    <w:rsid w:val="002E156F"/>
  </w:style>
  <w:style w:type="paragraph" w:styleId="Footer">
    <w:name w:val="footer"/>
    <w:basedOn w:val="Normal"/>
    <w:link w:val="FooterChar"/>
    <w:uiPriority w:val="99"/>
    <w:unhideWhenUsed/>
    <w:rsid w:val="002E156F"/>
    <w:pPr>
      <w:tabs>
        <w:tab w:val="center" w:pos="4680"/>
        <w:tab w:val="right" w:pos="9360"/>
      </w:tabs>
    </w:pPr>
  </w:style>
  <w:style w:type="character" w:customStyle="1" w:styleId="FooterChar">
    <w:name w:val="Footer Char"/>
    <w:basedOn w:val="DefaultParagraphFont"/>
    <w:link w:val="Footer"/>
    <w:uiPriority w:val="99"/>
    <w:rsid w:val="002E156F"/>
  </w:style>
  <w:style w:type="paragraph" w:styleId="BalloonText">
    <w:name w:val="Balloon Text"/>
    <w:basedOn w:val="Normal"/>
    <w:link w:val="BalloonTextChar"/>
    <w:uiPriority w:val="99"/>
    <w:semiHidden/>
    <w:unhideWhenUsed/>
    <w:rsid w:val="002E156F"/>
    <w:rPr>
      <w:rFonts w:ascii="Tahoma" w:hAnsi="Tahoma" w:cs="Tahoma"/>
      <w:sz w:val="16"/>
      <w:szCs w:val="16"/>
    </w:rPr>
  </w:style>
  <w:style w:type="character" w:customStyle="1" w:styleId="BalloonTextChar">
    <w:name w:val="Balloon Text Char"/>
    <w:basedOn w:val="DefaultParagraphFont"/>
    <w:link w:val="BalloonText"/>
    <w:uiPriority w:val="99"/>
    <w:semiHidden/>
    <w:rsid w:val="002E156F"/>
    <w:rPr>
      <w:rFonts w:ascii="Tahoma" w:hAnsi="Tahoma" w:cs="Tahoma"/>
      <w:sz w:val="16"/>
      <w:szCs w:val="16"/>
    </w:rPr>
  </w:style>
  <w:style w:type="character" w:styleId="Hyperlink">
    <w:name w:val="Hyperlink"/>
    <w:basedOn w:val="DefaultParagraphFont"/>
    <w:uiPriority w:val="99"/>
    <w:unhideWhenUsed/>
    <w:rsid w:val="002E156F"/>
    <w:rPr>
      <w:color w:val="0000FF"/>
      <w:u w:val="single"/>
    </w:rPr>
  </w:style>
  <w:style w:type="character" w:styleId="CommentReference">
    <w:name w:val="annotation reference"/>
    <w:basedOn w:val="DefaultParagraphFont"/>
    <w:uiPriority w:val="99"/>
    <w:semiHidden/>
    <w:unhideWhenUsed/>
    <w:rsid w:val="00B80F39"/>
    <w:rPr>
      <w:sz w:val="16"/>
      <w:szCs w:val="16"/>
    </w:rPr>
  </w:style>
  <w:style w:type="paragraph" w:styleId="CommentSubject">
    <w:name w:val="annotation subject"/>
    <w:basedOn w:val="CommentText"/>
    <w:next w:val="CommentText"/>
    <w:link w:val="CommentSubjectChar"/>
    <w:uiPriority w:val="99"/>
    <w:semiHidden/>
    <w:unhideWhenUsed/>
    <w:rsid w:val="00B80F39"/>
    <w:rPr>
      <w:b/>
      <w:bCs/>
    </w:rPr>
  </w:style>
  <w:style w:type="character" w:customStyle="1" w:styleId="CommentSubjectChar">
    <w:name w:val="Comment Subject Char"/>
    <w:basedOn w:val="CommentTextChar"/>
    <w:link w:val="CommentSubject"/>
    <w:uiPriority w:val="99"/>
    <w:semiHidden/>
    <w:rsid w:val="00B80F39"/>
    <w:rPr>
      <w:b/>
      <w:bCs/>
      <w:sz w:val="20"/>
      <w:szCs w:val="20"/>
    </w:rPr>
  </w:style>
  <w:style w:type="character" w:styleId="FollowedHyperlink">
    <w:name w:val="FollowedHyperlink"/>
    <w:basedOn w:val="DefaultParagraphFont"/>
    <w:uiPriority w:val="99"/>
    <w:semiHidden/>
    <w:unhideWhenUsed/>
    <w:rsid w:val="000C14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E156F"/>
    <w:pPr>
      <w:widowControl w:val="0"/>
      <w:spacing w:after="0" w:line="240" w:lineRule="auto"/>
    </w:pPr>
  </w:style>
  <w:style w:type="paragraph" w:styleId="Heading1">
    <w:name w:val="heading 1"/>
    <w:basedOn w:val="Normal"/>
    <w:link w:val="Heading1Char"/>
    <w:uiPriority w:val="1"/>
    <w:qFormat/>
    <w:rsid w:val="002E156F"/>
    <w:pPr>
      <w:ind w:left="8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56F"/>
    <w:rPr>
      <w:rFonts w:ascii="Times New Roman" w:eastAsia="Times New Roman" w:hAnsi="Times New Roman"/>
      <w:b/>
      <w:bCs/>
      <w:sz w:val="24"/>
      <w:szCs w:val="24"/>
    </w:rPr>
  </w:style>
  <w:style w:type="paragraph" w:styleId="BodyText">
    <w:name w:val="Body Text"/>
    <w:basedOn w:val="Normal"/>
    <w:link w:val="BodyTextChar"/>
    <w:uiPriority w:val="1"/>
    <w:qFormat/>
    <w:rsid w:val="002E156F"/>
    <w:pPr>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E156F"/>
    <w:rPr>
      <w:rFonts w:ascii="Times New Roman" w:eastAsia="Times New Roman" w:hAnsi="Times New Roman"/>
      <w:sz w:val="24"/>
      <w:szCs w:val="24"/>
    </w:rPr>
  </w:style>
  <w:style w:type="paragraph" w:styleId="ListParagraph">
    <w:name w:val="List Paragraph"/>
    <w:basedOn w:val="Normal"/>
    <w:link w:val="ListParagraphChar"/>
    <w:uiPriority w:val="34"/>
    <w:qFormat/>
    <w:rsid w:val="002E156F"/>
  </w:style>
  <w:style w:type="paragraph" w:styleId="CommentText">
    <w:name w:val="annotation text"/>
    <w:basedOn w:val="Normal"/>
    <w:link w:val="CommentTextChar"/>
    <w:uiPriority w:val="99"/>
    <w:unhideWhenUsed/>
    <w:rsid w:val="002E156F"/>
    <w:rPr>
      <w:sz w:val="20"/>
      <w:szCs w:val="20"/>
    </w:rPr>
  </w:style>
  <w:style w:type="character" w:customStyle="1" w:styleId="CommentTextChar">
    <w:name w:val="Comment Text Char"/>
    <w:basedOn w:val="DefaultParagraphFont"/>
    <w:link w:val="CommentText"/>
    <w:uiPriority w:val="99"/>
    <w:rsid w:val="002E156F"/>
    <w:rPr>
      <w:sz w:val="20"/>
      <w:szCs w:val="20"/>
    </w:rPr>
  </w:style>
  <w:style w:type="character" w:customStyle="1" w:styleId="ListParagraphChar">
    <w:name w:val="List Paragraph Char"/>
    <w:basedOn w:val="DefaultParagraphFont"/>
    <w:link w:val="ListParagraph"/>
    <w:uiPriority w:val="34"/>
    <w:locked/>
    <w:rsid w:val="002E156F"/>
  </w:style>
  <w:style w:type="paragraph" w:styleId="Header">
    <w:name w:val="header"/>
    <w:basedOn w:val="Normal"/>
    <w:link w:val="HeaderChar"/>
    <w:uiPriority w:val="99"/>
    <w:unhideWhenUsed/>
    <w:rsid w:val="002E156F"/>
    <w:pPr>
      <w:tabs>
        <w:tab w:val="center" w:pos="4680"/>
        <w:tab w:val="right" w:pos="9360"/>
      </w:tabs>
    </w:pPr>
  </w:style>
  <w:style w:type="character" w:customStyle="1" w:styleId="HeaderChar">
    <w:name w:val="Header Char"/>
    <w:basedOn w:val="DefaultParagraphFont"/>
    <w:link w:val="Header"/>
    <w:uiPriority w:val="99"/>
    <w:rsid w:val="002E156F"/>
  </w:style>
  <w:style w:type="paragraph" w:styleId="Footer">
    <w:name w:val="footer"/>
    <w:basedOn w:val="Normal"/>
    <w:link w:val="FooterChar"/>
    <w:uiPriority w:val="99"/>
    <w:unhideWhenUsed/>
    <w:rsid w:val="002E156F"/>
    <w:pPr>
      <w:tabs>
        <w:tab w:val="center" w:pos="4680"/>
        <w:tab w:val="right" w:pos="9360"/>
      </w:tabs>
    </w:pPr>
  </w:style>
  <w:style w:type="character" w:customStyle="1" w:styleId="FooterChar">
    <w:name w:val="Footer Char"/>
    <w:basedOn w:val="DefaultParagraphFont"/>
    <w:link w:val="Footer"/>
    <w:uiPriority w:val="99"/>
    <w:rsid w:val="002E156F"/>
  </w:style>
  <w:style w:type="paragraph" w:styleId="BalloonText">
    <w:name w:val="Balloon Text"/>
    <w:basedOn w:val="Normal"/>
    <w:link w:val="BalloonTextChar"/>
    <w:uiPriority w:val="99"/>
    <w:semiHidden/>
    <w:unhideWhenUsed/>
    <w:rsid w:val="002E156F"/>
    <w:rPr>
      <w:rFonts w:ascii="Tahoma" w:hAnsi="Tahoma" w:cs="Tahoma"/>
      <w:sz w:val="16"/>
      <w:szCs w:val="16"/>
    </w:rPr>
  </w:style>
  <w:style w:type="character" w:customStyle="1" w:styleId="BalloonTextChar">
    <w:name w:val="Balloon Text Char"/>
    <w:basedOn w:val="DefaultParagraphFont"/>
    <w:link w:val="BalloonText"/>
    <w:uiPriority w:val="99"/>
    <w:semiHidden/>
    <w:rsid w:val="002E156F"/>
    <w:rPr>
      <w:rFonts w:ascii="Tahoma" w:hAnsi="Tahoma" w:cs="Tahoma"/>
      <w:sz w:val="16"/>
      <w:szCs w:val="16"/>
    </w:rPr>
  </w:style>
  <w:style w:type="character" w:styleId="Hyperlink">
    <w:name w:val="Hyperlink"/>
    <w:basedOn w:val="DefaultParagraphFont"/>
    <w:uiPriority w:val="99"/>
    <w:unhideWhenUsed/>
    <w:rsid w:val="002E156F"/>
    <w:rPr>
      <w:color w:val="0000FF"/>
      <w:u w:val="single"/>
    </w:rPr>
  </w:style>
  <w:style w:type="character" w:styleId="CommentReference">
    <w:name w:val="annotation reference"/>
    <w:basedOn w:val="DefaultParagraphFont"/>
    <w:uiPriority w:val="99"/>
    <w:semiHidden/>
    <w:unhideWhenUsed/>
    <w:rsid w:val="00B80F39"/>
    <w:rPr>
      <w:sz w:val="16"/>
      <w:szCs w:val="16"/>
    </w:rPr>
  </w:style>
  <w:style w:type="paragraph" w:styleId="CommentSubject">
    <w:name w:val="annotation subject"/>
    <w:basedOn w:val="CommentText"/>
    <w:next w:val="CommentText"/>
    <w:link w:val="CommentSubjectChar"/>
    <w:uiPriority w:val="99"/>
    <w:semiHidden/>
    <w:unhideWhenUsed/>
    <w:rsid w:val="00B80F39"/>
    <w:rPr>
      <w:b/>
      <w:bCs/>
    </w:rPr>
  </w:style>
  <w:style w:type="character" w:customStyle="1" w:styleId="CommentSubjectChar">
    <w:name w:val="Comment Subject Char"/>
    <w:basedOn w:val="CommentTextChar"/>
    <w:link w:val="CommentSubject"/>
    <w:uiPriority w:val="99"/>
    <w:semiHidden/>
    <w:rsid w:val="00B80F39"/>
    <w:rPr>
      <w:b/>
      <w:bCs/>
      <w:sz w:val="20"/>
      <w:szCs w:val="20"/>
    </w:rPr>
  </w:style>
  <w:style w:type="character" w:styleId="FollowedHyperlink">
    <w:name w:val="FollowedHyperlink"/>
    <w:basedOn w:val="DefaultParagraphFont"/>
    <w:uiPriority w:val="99"/>
    <w:semiHidden/>
    <w:unhideWhenUsed/>
    <w:rsid w:val="000C1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86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https://www.cms.gov/research-statistics-data-and-systems/monitoring-programs/medicare-ffs-compliance-programs/medical-review/inpatienthospitalreviews.html" TargetMode="External"/><Relationship Id="rId2" Type="http://schemas.openxmlformats.org/officeDocument/2006/relationships/hyperlink" Target="http://qioprogram.org/announcements" TargetMode="External"/><Relationship Id="rId1" Type="http://schemas.openxmlformats.org/officeDocument/2006/relationships/hyperlink" Target="http://qioprogram.org/sites/default/files/20151109-ReviewingHospitalClaimsforAdmissionMemo%20Final.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2631</Words>
  <Characters>15000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Davis</dc:creator>
  <cp:lastModifiedBy>Nicholas Wright</cp:lastModifiedBy>
  <cp:revision>2</cp:revision>
  <cp:lastPrinted>2015-12-29T17:29:00Z</cp:lastPrinted>
  <dcterms:created xsi:type="dcterms:W3CDTF">2016-01-11T17:24:00Z</dcterms:created>
  <dcterms:modified xsi:type="dcterms:W3CDTF">2016-01-11T17:24:00Z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1944367707</vt:i4>
  </property>
  <property fmtid="{D5CDD505-2E9C-101B-9397-08002B2CF9AE}" pid="3" name="_NewReviewCycle">
    <vt:lpwstr/>
  </property>
  <property fmtid="{D5CDD505-2E9C-101B-9397-08002B2CF9AE}" pid="4" name="_EmailSubject">
    <vt:lpwstr>REVISION - Two Midnight Guidance Website Posting</vt:lpwstr>
  </property>
  <property fmtid="{D5CDD505-2E9C-101B-9397-08002B2CF9AE}" pid="5" name="_AuthorEmail">
    <vt:lpwstr>Angel.Davis@cms.hhs.gov</vt:lpwstr>
  </property>
  <property fmtid="{D5CDD505-2E9C-101B-9397-08002B2CF9AE}" pid="6" name="_AuthorEmailDisplayName">
    <vt:lpwstr>Davis, Angel (CMS/CCSQ)</vt:lpwstr>
  </property>
  <property fmtid="{D5CDD505-2E9C-101B-9397-08002B2CF9AE}" pid="7" name="_PreviousAdHocReviewCycleID">
    <vt:i4>771204355</vt:i4>
  </property>
  <property fmtid="{D5CDD505-2E9C-101B-9397-08002B2CF9AE}" pid="8" name="_ReviewingToolsShownOnce">
    <vt:lpwstr/>
  </property>
</Properties>
</file>