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92" w:rsidRDefault="006F1F24">
      <w:pPr>
        <w:pStyle w:val="Heading1"/>
        <w:rPr>
          <w:b w:val="0"/>
          <w:bCs w:val="0"/>
        </w:rPr>
      </w:pPr>
      <w:r>
        <w:rPr>
          <w:color w:val="010202"/>
        </w:rPr>
        <w:t xml:space="preserve">Appendix A: </w:t>
      </w:r>
      <w:r>
        <w:rPr>
          <w:color w:val="010202"/>
          <w:spacing w:val="-1"/>
        </w:rPr>
        <w:t>Data Sources and</w:t>
      </w:r>
      <w:r>
        <w:rPr>
          <w:color w:val="010202"/>
        </w:rPr>
        <w:t xml:space="preserve"> Methods</w:t>
      </w:r>
      <w:bookmarkStart w:id="0" w:name="_GoBack"/>
      <w:bookmarkEnd w:id="0"/>
    </w:p>
    <w:p w:rsidR="00AB4992" w:rsidRDefault="00AB4992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B4992" w:rsidRDefault="006F1F24">
      <w:pPr>
        <w:pStyle w:val="BodyText"/>
        <w:ind w:left="110" w:right="111" w:firstLine="0"/>
      </w:pPr>
      <w:r>
        <w:rPr>
          <w:color w:val="010202"/>
        </w:rPr>
        <w:t xml:space="preserve">The Medicare Consumer Assessment of Healthcare Providers and Systems (MCAHPS) </w:t>
      </w:r>
      <w:r>
        <w:rPr>
          <w:color w:val="010202"/>
          <w:spacing w:val="-1"/>
        </w:rPr>
        <w:t>surveys</w:t>
      </w:r>
      <w:r>
        <w:rPr>
          <w:color w:val="010202"/>
          <w:spacing w:val="25"/>
        </w:rPr>
        <w:t xml:space="preserve"> </w:t>
      </w:r>
      <w:r>
        <w:rPr>
          <w:color w:val="010202"/>
        </w:rPr>
        <w:t>are mail surveys with telephone follow-ups based on a stratified random sample of Medicare beneficiaries,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with states serving as strata for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 xml:space="preserve">beneficiaries with </w:t>
      </w:r>
      <w:r>
        <w:rPr>
          <w:color w:val="010202"/>
          <w:spacing w:val="-1"/>
        </w:rPr>
        <w:t xml:space="preserve">Fee-For-Service </w:t>
      </w:r>
      <w:r>
        <w:rPr>
          <w:color w:val="010202"/>
        </w:rPr>
        <w:t>(FFS) coverage</w:t>
      </w:r>
      <w:r>
        <w:rPr>
          <w:color w:val="010202"/>
          <w:spacing w:val="25"/>
        </w:rPr>
        <w:t xml:space="preserve"> </w:t>
      </w:r>
      <w:proofErr w:type="gramStart"/>
      <w:r>
        <w:rPr>
          <w:color w:val="010202"/>
        </w:rPr>
        <w:t>who</w:t>
      </w:r>
      <w:proofErr w:type="gramEnd"/>
      <w:r>
        <w:rPr>
          <w:color w:val="010202"/>
        </w:rPr>
        <w:t xml:space="preserve"> are not enrolled in a </w:t>
      </w:r>
      <w:r>
        <w:rPr>
          <w:color w:val="010202"/>
          <w:spacing w:val="-1"/>
        </w:rPr>
        <w:t>prescription</w:t>
      </w:r>
      <w:r>
        <w:rPr>
          <w:color w:val="010202"/>
        </w:rPr>
        <w:t xml:space="preserve"> drug plan and with contracts serving as strata for all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 xml:space="preserve">others. The 2014 MCAHPS survey attempted to contact </w:t>
      </w:r>
      <w:r>
        <w:rPr>
          <w:color w:val="010202"/>
          <w:spacing w:val="-1"/>
        </w:rPr>
        <w:t>837,817</w:t>
      </w:r>
      <w:r>
        <w:rPr>
          <w:color w:val="010202"/>
        </w:rPr>
        <w:t xml:space="preserve"> Medicare beneficiaries and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 xml:space="preserve">received responses from </w:t>
      </w:r>
      <w:r>
        <w:rPr>
          <w:color w:val="010202"/>
          <w:spacing w:val="-1"/>
        </w:rPr>
        <w:t xml:space="preserve">340,776, </w:t>
      </w:r>
      <w:r>
        <w:rPr>
          <w:color w:val="010202"/>
        </w:rPr>
        <w:t xml:space="preserve">a </w:t>
      </w:r>
      <w:r>
        <w:rPr>
          <w:color w:val="010202"/>
          <w:spacing w:val="-1"/>
        </w:rPr>
        <w:t xml:space="preserve">41-percent </w:t>
      </w:r>
      <w:r>
        <w:rPr>
          <w:color w:val="010202"/>
        </w:rPr>
        <w:t>response rate. The 2014 surveys represent all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 xml:space="preserve">FFS beneficiaries and Medicare Advantage (MA) </w:t>
      </w:r>
      <w:r>
        <w:rPr>
          <w:color w:val="010202"/>
          <w:spacing w:val="-1"/>
        </w:rPr>
        <w:t>beneficiaries</w:t>
      </w:r>
      <w:r>
        <w:rPr>
          <w:color w:val="010202"/>
        </w:rPr>
        <w:t xml:space="preserve"> from the 531 MA contracts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 xml:space="preserve">more than 600 </w:t>
      </w:r>
      <w:r>
        <w:rPr>
          <w:color w:val="010202"/>
          <w:spacing w:val="-1"/>
        </w:rPr>
        <w:t xml:space="preserve">eligible </w:t>
      </w:r>
      <w:r>
        <w:rPr>
          <w:color w:val="010202"/>
        </w:rPr>
        <w:t>enrollees.</w:t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ind w:left="109" w:right="111" w:firstLine="0"/>
      </w:pPr>
      <w:r>
        <w:rPr>
          <w:color w:val="010202"/>
        </w:rPr>
        <w:t xml:space="preserve">The MCAHPS </w:t>
      </w:r>
      <w:r>
        <w:rPr>
          <w:color w:val="010202"/>
          <w:spacing w:val="-1"/>
        </w:rPr>
        <w:t>surveys</w:t>
      </w:r>
      <w:r>
        <w:rPr>
          <w:color w:val="010202"/>
        </w:rPr>
        <w:t xml:space="preserve"> ask beneficiaries, “Are you of Hispanic or Latino origin or descent?” with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 xml:space="preserve">response options of “Yes, Hispanic or Latino” and </w:t>
      </w:r>
      <w:r>
        <w:rPr>
          <w:color w:val="010202"/>
          <w:spacing w:val="-1"/>
        </w:rPr>
        <w:t xml:space="preserve">“No, </w:t>
      </w:r>
      <w:r>
        <w:rPr>
          <w:color w:val="010202"/>
        </w:rPr>
        <w:t>not Hispanic or Latino.” The survey then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 xml:space="preserve">asks, “What is your race? Please mark one or </w:t>
      </w:r>
      <w:r>
        <w:rPr>
          <w:color w:val="010202"/>
          <w:spacing w:val="-1"/>
        </w:rPr>
        <w:t>more,”</w:t>
      </w:r>
      <w:r>
        <w:rPr>
          <w:color w:val="010202"/>
        </w:rPr>
        <w:t xml:space="preserve"> with response options of </w:t>
      </w:r>
      <w:r>
        <w:rPr>
          <w:color w:val="010202"/>
          <w:spacing w:val="-1"/>
        </w:rPr>
        <w:t>“White,”</w:t>
      </w:r>
      <w:r>
        <w:rPr>
          <w:color w:val="010202"/>
        </w:rPr>
        <w:t xml:space="preserve"> “Black</w:t>
      </w:r>
      <w:r>
        <w:rPr>
          <w:color w:val="010202"/>
          <w:spacing w:val="24"/>
        </w:rPr>
        <w:t xml:space="preserve"> </w:t>
      </w:r>
      <w:r>
        <w:rPr>
          <w:color w:val="010202"/>
        </w:rPr>
        <w:t xml:space="preserve">or African </w:t>
      </w:r>
      <w:r>
        <w:rPr>
          <w:color w:val="010202"/>
          <w:spacing w:val="-1"/>
        </w:rPr>
        <w:t>American,”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“Asian,”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“Native</w:t>
      </w:r>
      <w:r>
        <w:rPr>
          <w:color w:val="010202"/>
        </w:rPr>
        <w:t xml:space="preserve"> Hawaiian or other Pacific </w:t>
      </w:r>
      <w:r>
        <w:rPr>
          <w:color w:val="010202"/>
          <w:spacing w:val="-1"/>
        </w:rPr>
        <w:t>Islander,”</w:t>
      </w:r>
      <w:r>
        <w:rPr>
          <w:color w:val="010202"/>
        </w:rPr>
        <w:t xml:space="preserve"> and </w:t>
      </w:r>
      <w:r>
        <w:rPr>
          <w:color w:val="010202"/>
          <w:spacing w:val="-1"/>
        </w:rPr>
        <w:t>“American</w:t>
      </w:r>
      <w:r>
        <w:rPr>
          <w:color w:val="010202"/>
          <w:spacing w:val="77"/>
        </w:rPr>
        <w:t xml:space="preserve"> </w:t>
      </w:r>
      <w:r>
        <w:rPr>
          <w:color w:val="010202"/>
        </w:rPr>
        <w:t xml:space="preserve">Indian or Alaska </w:t>
      </w:r>
      <w:r>
        <w:rPr>
          <w:color w:val="010202"/>
          <w:spacing w:val="-1"/>
        </w:rPr>
        <w:t>Native.”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 xml:space="preserve">Following </w:t>
      </w:r>
      <w:r>
        <w:rPr>
          <w:color w:val="010202"/>
        </w:rPr>
        <w:t>a U.S.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Census approach,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answers to these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two questions</w:t>
      </w:r>
      <w:r>
        <w:rPr>
          <w:color w:val="010202"/>
          <w:spacing w:val="30"/>
        </w:rPr>
        <w:t xml:space="preserve"> </w:t>
      </w:r>
      <w:r>
        <w:rPr>
          <w:color w:val="010202"/>
        </w:rPr>
        <w:t xml:space="preserve">were </w:t>
      </w:r>
      <w:r>
        <w:rPr>
          <w:color w:val="010202"/>
          <w:spacing w:val="-1"/>
        </w:rPr>
        <w:t>used</w:t>
      </w:r>
      <w:r>
        <w:rPr>
          <w:color w:val="010202"/>
        </w:rPr>
        <w:t xml:space="preserve"> to classify respondents into one of seven mutually exclusive categories: Hispanic,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multiracial,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American Indian/Alaska </w:t>
      </w:r>
      <w:r>
        <w:rPr>
          <w:color w:val="010202"/>
          <w:spacing w:val="-1"/>
        </w:rPr>
        <w:t>Native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 xml:space="preserve">(AI/AN), </w:t>
      </w:r>
      <w:r>
        <w:rPr>
          <w:color w:val="010202"/>
        </w:rPr>
        <w:t>Asian/Pacific Islander (API), Black, White,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24"/>
        </w:rPr>
        <w:t xml:space="preserve"> </w:t>
      </w:r>
      <w:r>
        <w:rPr>
          <w:color w:val="010202"/>
          <w:spacing w:val="-1"/>
        </w:rPr>
        <w:t>unknown.</w:t>
      </w:r>
    </w:p>
    <w:p w:rsidR="00AB4992" w:rsidRDefault="006F1F24">
      <w:pPr>
        <w:pStyle w:val="BodyText"/>
        <w:numPr>
          <w:ilvl w:val="0"/>
          <w:numId w:val="1"/>
        </w:numPr>
        <w:tabs>
          <w:tab w:val="left" w:pos="830"/>
        </w:tabs>
        <w:spacing w:before="3" w:line="292" w:lineRule="exact"/>
        <w:ind w:right="262"/>
      </w:pPr>
      <w:r>
        <w:rPr>
          <w:color w:val="010202"/>
        </w:rPr>
        <w:t>Respondents who endorsed Hispanic ethnicity were classified as Hispanic regardless of races endorsed.</w:t>
      </w:r>
    </w:p>
    <w:p w:rsidR="00AB4992" w:rsidRDefault="006F1F24">
      <w:pPr>
        <w:pStyle w:val="BodyText"/>
        <w:numPr>
          <w:ilvl w:val="0"/>
          <w:numId w:val="1"/>
        </w:numPr>
        <w:tabs>
          <w:tab w:val="left" w:pos="830"/>
        </w:tabs>
        <w:spacing w:before="2" w:line="241" w:lineRule="auto"/>
        <w:ind w:right="709"/>
      </w:pPr>
      <w:r>
        <w:rPr>
          <w:color w:val="010202"/>
          <w:spacing w:val="-1"/>
        </w:rPr>
        <w:t>Non-Hispanic</w:t>
      </w:r>
      <w:r>
        <w:rPr>
          <w:color w:val="010202"/>
        </w:rPr>
        <w:t xml:space="preserve"> respondents who endorsed two or more races were </w:t>
      </w:r>
      <w:r>
        <w:rPr>
          <w:color w:val="010202"/>
          <w:spacing w:val="-1"/>
        </w:rPr>
        <w:t>classified</w:t>
      </w:r>
      <w:r>
        <w:rPr>
          <w:color w:val="010202"/>
        </w:rPr>
        <w:t xml:space="preserve"> as</w:t>
      </w:r>
      <w:r>
        <w:rPr>
          <w:color w:val="010202"/>
          <w:spacing w:val="40"/>
        </w:rPr>
        <w:t xml:space="preserve"> </w:t>
      </w:r>
      <w:r>
        <w:rPr>
          <w:color w:val="010202"/>
        </w:rPr>
        <w:t>multiracial,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with a single exception: those who selected both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 xml:space="preserve">“Asian” “and </w:t>
      </w:r>
      <w:r>
        <w:rPr>
          <w:color w:val="010202"/>
          <w:spacing w:val="-1"/>
        </w:rPr>
        <w:t>“Native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>Hawaiian or other Pacific Islander” but no other race were classified as API.</w:t>
      </w:r>
    </w:p>
    <w:p w:rsidR="00AB4992" w:rsidRDefault="006F1F24">
      <w:pPr>
        <w:pStyle w:val="BodyText"/>
        <w:numPr>
          <w:ilvl w:val="0"/>
          <w:numId w:val="1"/>
        </w:numPr>
        <w:tabs>
          <w:tab w:val="left" w:pos="830"/>
        </w:tabs>
        <w:spacing w:line="243" w:lineRule="auto"/>
        <w:ind w:right="252"/>
      </w:pPr>
      <w:r>
        <w:rPr>
          <w:color w:val="010202"/>
          <w:spacing w:val="-1"/>
        </w:rPr>
        <w:t>Non-Hispanic</w:t>
      </w:r>
      <w:r>
        <w:rPr>
          <w:color w:val="010202"/>
        </w:rPr>
        <w:t xml:space="preserve"> respondents who selected exactly one race were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classified as </w:t>
      </w:r>
      <w:r>
        <w:rPr>
          <w:color w:val="010202"/>
          <w:spacing w:val="-1"/>
        </w:rPr>
        <w:t>AI/AN,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API,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Black, or White,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according to their response.</w:t>
      </w:r>
    </w:p>
    <w:p w:rsidR="00AB4992" w:rsidRDefault="006F1F24">
      <w:pPr>
        <w:pStyle w:val="BodyText"/>
        <w:numPr>
          <w:ilvl w:val="0"/>
          <w:numId w:val="1"/>
        </w:numPr>
        <w:tabs>
          <w:tab w:val="left" w:pos="830"/>
        </w:tabs>
        <w:spacing w:line="298" w:lineRule="exact"/>
      </w:pPr>
      <w:r>
        <w:rPr>
          <w:color w:val="010202"/>
        </w:rPr>
        <w:t>Respondents without data regarding race/ethnicity were classified as unknown.</w:t>
      </w:r>
    </w:p>
    <w:p w:rsidR="00AB4992" w:rsidRDefault="006F1F24">
      <w:pPr>
        <w:pStyle w:val="BodyText"/>
        <w:numPr>
          <w:ilvl w:val="0"/>
          <w:numId w:val="1"/>
        </w:numPr>
        <w:tabs>
          <w:tab w:val="left" w:pos="830"/>
        </w:tabs>
        <w:spacing w:before="1"/>
        <w:ind w:right="1008"/>
      </w:pPr>
      <w:r>
        <w:rPr>
          <w:color w:val="010202"/>
        </w:rPr>
        <w:t xml:space="preserve">We do not include estimates for the </w:t>
      </w:r>
      <w:r>
        <w:rPr>
          <w:color w:val="010202"/>
          <w:spacing w:val="-1"/>
        </w:rPr>
        <w:t xml:space="preserve">multiracial </w:t>
      </w:r>
      <w:r>
        <w:rPr>
          <w:color w:val="010202"/>
        </w:rPr>
        <w:t>and unknown subgroups in this</w:t>
      </w:r>
      <w:r>
        <w:rPr>
          <w:color w:val="010202"/>
          <w:spacing w:val="20"/>
        </w:rPr>
        <w:t xml:space="preserve"> </w:t>
      </w:r>
      <w:r>
        <w:rPr>
          <w:color w:val="010202"/>
          <w:spacing w:val="-1"/>
        </w:rPr>
        <w:t>document.</w:t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ind w:left="109" w:right="125" w:firstLine="0"/>
      </w:pPr>
      <w:r>
        <w:rPr>
          <w:color w:val="010202"/>
        </w:rPr>
        <w:t xml:space="preserve">The Healthcare Effectiveness Data and Information Set (HEDIS) </w:t>
      </w:r>
      <w:proofErr w:type="gramStart"/>
      <w:r>
        <w:rPr>
          <w:color w:val="010202"/>
        </w:rPr>
        <w:t>consists</w:t>
      </w:r>
      <w:proofErr w:type="gramEnd"/>
      <w:r>
        <w:rPr>
          <w:color w:val="010202"/>
        </w:rPr>
        <w:t xml:space="preserve"> of 81 clinical care measures across </w:t>
      </w:r>
      <w:r>
        <w:rPr>
          <w:color w:val="010202"/>
          <w:spacing w:val="-1"/>
        </w:rPr>
        <w:t xml:space="preserve">five </w:t>
      </w:r>
      <w:r>
        <w:rPr>
          <w:color w:val="010202"/>
        </w:rPr>
        <w:t xml:space="preserve">domains (National Committee for Quality Assurance </w:t>
      </w:r>
      <w:r>
        <w:rPr>
          <w:color w:val="010202"/>
          <w:spacing w:val="-1"/>
        </w:rPr>
        <w:t>[NCQA], 2015).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These</w:t>
      </w:r>
      <w:r>
        <w:rPr>
          <w:color w:val="010202"/>
          <w:spacing w:val="35"/>
        </w:rPr>
        <w:t xml:space="preserve"> </w:t>
      </w:r>
      <w:r>
        <w:rPr>
          <w:color w:val="010202"/>
        </w:rPr>
        <w:t>domains include effectiveness of care,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access/availability of care,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 xml:space="preserve">experience of care, utilization and relative resource use, and health plan </w:t>
      </w:r>
      <w:r>
        <w:rPr>
          <w:color w:val="010202"/>
          <w:spacing w:val="-1"/>
        </w:rPr>
        <w:t>descriptive</w:t>
      </w:r>
      <w:r>
        <w:rPr>
          <w:color w:val="010202"/>
        </w:rPr>
        <w:t xml:space="preserve"> information. HEDIS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measures are</w:t>
      </w:r>
      <w:r>
        <w:rPr>
          <w:color w:val="010202"/>
          <w:spacing w:val="20"/>
        </w:rPr>
        <w:t xml:space="preserve"> </w:t>
      </w:r>
      <w:r>
        <w:rPr>
          <w:color w:val="010202"/>
        </w:rPr>
        <w:t>developed,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tested,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and validated under the direction of the NCQA. Whereas CAHPS data are collected only through surveys,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HEDIS data are gathered both through surveys and through medical charts and insurance claims for hospitalizations,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medical office visits, and procedures (Agency for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Healthcare Research and Quality, 2015). HEDIS data,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unlike CAHPS data, do not contain the </w:t>
      </w:r>
      <w:r>
        <w:rPr>
          <w:color w:val="010202"/>
          <w:spacing w:val="-1"/>
        </w:rPr>
        <w:t>patient’s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self-reported</w:t>
      </w:r>
      <w:r>
        <w:rPr>
          <w:color w:val="010202"/>
        </w:rPr>
        <w:t xml:space="preserve"> race/ethnicity. Therefore,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race/ethnicity was imputed for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the HEDIS data using a methodology that combines information from administrative data, surname, and residential location (Martino et al.,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2013). In </w:t>
      </w:r>
      <w:r>
        <w:rPr>
          <w:color w:val="010202"/>
          <w:spacing w:val="-1"/>
        </w:rPr>
        <w:t>2014,</w:t>
      </w:r>
      <w:r>
        <w:rPr>
          <w:color w:val="010202"/>
        </w:rPr>
        <w:t xml:space="preserve"> there were 473 MA contracts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with a total enrollment of 13.2 million that supplied at least one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reported HEDIS measure.</w:t>
      </w:r>
    </w:p>
    <w:p w:rsidR="00AB4992" w:rsidRDefault="00AB4992">
      <w:pPr>
        <w:sectPr w:rsidR="00AB4992">
          <w:footerReference w:type="default" r:id="rId8"/>
          <w:type w:val="continuous"/>
          <w:pgSz w:w="12240" w:h="15840"/>
          <w:pgMar w:top="1420" w:right="1360" w:bottom="1220" w:left="1340" w:header="720" w:footer="1032" w:gutter="0"/>
          <w:pgNumType w:start="1"/>
          <w:cols w:space="720"/>
        </w:sectPr>
      </w:pPr>
    </w:p>
    <w:p w:rsidR="00AB4992" w:rsidRDefault="005C2B2E">
      <w:pPr>
        <w:pStyle w:val="BodyText"/>
        <w:spacing w:before="34"/>
        <w:ind w:left="110" w:right="307" w:firstLine="0"/>
      </w:pPr>
      <w:r>
        <w:rPr>
          <w:color w:val="010202"/>
        </w:rPr>
        <w:lastRenderedPageBreak/>
        <w:t>S</w:t>
      </w:r>
      <w:r w:rsidR="000F4BDD">
        <w:rPr>
          <w:color w:val="010202"/>
        </w:rPr>
        <w:t>cores on CAHPS measures (excluding the flu immunization HEDIS measure which is collected as part of the CAHPS survey)</w:t>
      </w:r>
      <w:r w:rsidR="006F1F24">
        <w:rPr>
          <w:color w:val="010202"/>
        </w:rPr>
        <w:t xml:space="preserve"> are </w:t>
      </w:r>
      <w:r w:rsidR="006F1F24">
        <w:rPr>
          <w:color w:val="010202"/>
          <w:spacing w:val="-1"/>
        </w:rPr>
        <w:t>case-mix</w:t>
      </w:r>
      <w:r w:rsidR="006F1F24">
        <w:rPr>
          <w:color w:val="010202"/>
        </w:rPr>
        <w:t xml:space="preserve"> adjusted in linear regression models that contain health</w:t>
      </w:r>
      <w:r w:rsidR="006F1F24">
        <w:rPr>
          <w:color w:val="010202"/>
          <w:spacing w:val="27"/>
        </w:rPr>
        <w:t xml:space="preserve"> </w:t>
      </w:r>
      <w:r w:rsidR="006F1F24">
        <w:rPr>
          <w:color w:val="010202"/>
        </w:rPr>
        <w:t xml:space="preserve">contract-intercepts, racial/ethnic </w:t>
      </w:r>
      <w:r w:rsidR="006F1F24">
        <w:rPr>
          <w:color w:val="010202"/>
          <w:spacing w:val="-1"/>
        </w:rPr>
        <w:t>indicators</w:t>
      </w:r>
      <w:r w:rsidR="006F1F24">
        <w:rPr>
          <w:color w:val="010202"/>
        </w:rPr>
        <w:t xml:space="preserve"> (as the primary independent variable), and the</w:t>
      </w:r>
      <w:r w:rsidR="006F1F24">
        <w:rPr>
          <w:color w:val="010202"/>
          <w:spacing w:val="29"/>
        </w:rPr>
        <w:t xml:space="preserve"> </w:t>
      </w:r>
      <w:r w:rsidR="006F1F24">
        <w:rPr>
          <w:color w:val="010202"/>
        </w:rPr>
        <w:t>following case-mix adjustors: age,</w:t>
      </w:r>
      <w:r w:rsidR="006F1F24">
        <w:rPr>
          <w:color w:val="010202"/>
          <w:spacing w:val="-1"/>
        </w:rPr>
        <w:t xml:space="preserve"> </w:t>
      </w:r>
      <w:r w:rsidR="006F1F24">
        <w:rPr>
          <w:color w:val="010202"/>
        </w:rPr>
        <w:t>education,</w:t>
      </w:r>
      <w:r w:rsidR="006F1F24">
        <w:rPr>
          <w:color w:val="010202"/>
          <w:spacing w:val="-1"/>
        </w:rPr>
        <w:t xml:space="preserve"> </w:t>
      </w:r>
      <w:r w:rsidR="006F1F24">
        <w:rPr>
          <w:color w:val="010202"/>
        </w:rPr>
        <w:t>self-rated health and mental</w:t>
      </w:r>
      <w:r w:rsidR="006F1F24">
        <w:rPr>
          <w:color w:val="010202"/>
          <w:spacing w:val="6"/>
        </w:rPr>
        <w:t xml:space="preserve"> </w:t>
      </w:r>
      <w:r w:rsidR="006F1F24">
        <w:rPr>
          <w:color w:val="010202"/>
        </w:rPr>
        <w:t xml:space="preserve">health, dual eligibility/low-income subsidy, and proxy status. </w:t>
      </w:r>
      <w:r w:rsidR="006F1F24">
        <w:rPr>
          <w:color w:val="010202"/>
          <w:spacing w:val="-1"/>
        </w:rPr>
        <w:t>There</w:t>
      </w:r>
      <w:r w:rsidR="006F1F24">
        <w:rPr>
          <w:color w:val="010202"/>
        </w:rPr>
        <w:t xml:space="preserve"> is no adjustment for survey</w:t>
      </w:r>
      <w:r w:rsidR="006F1F24">
        <w:rPr>
          <w:color w:val="010202"/>
          <w:spacing w:val="2"/>
        </w:rPr>
        <w:t xml:space="preserve"> </w:t>
      </w:r>
      <w:r w:rsidR="006F1F24">
        <w:rPr>
          <w:color w:val="010202"/>
        </w:rPr>
        <w:t>language.</w:t>
      </w:r>
      <w:r w:rsidR="006F1F24">
        <w:rPr>
          <w:color w:val="010202"/>
          <w:spacing w:val="24"/>
        </w:rPr>
        <w:t xml:space="preserve"> </w:t>
      </w:r>
      <w:r w:rsidR="006F1F24">
        <w:rPr>
          <w:color w:val="010202"/>
        </w:rPr>
        <w:t>Race/ethnicity is coded as Hispanic, Black,</w:t>
      </w:r>
      <w:r w:rsidR="006F1F24">
        <w:rPr>
          <w:color w:val="010202"/>
          <w:spacing w:val="-1"/>
        </w:rPr>
        <w:t xml:space="preserve"> API, AI/AN, </w:t>
      </w:r>
      <w:r w:rsidR="006F1F24">
        <w:rPr>
          <w:color w:val="010202"/>
        </w:rPr>
        <w:t>multiracial,</w:t>
      </w:r>
      <w:r w:rsidR="006F1F24">
        <w:rPr>
          <w:color w:val="010202"/>
          <w:spacing w:val="-1"/>
        </w:rPr>
        <w:t xml:space="preserve"> </w:t>
      </w:r>
      <w:r w:rsidR="006F1F24">
        <w:rPr>
          <w:color w:val="010202"/>
        </w:rPr>
        <w:t>and unknown,</w:t>
      </w:r>
      <w:r w:rsidR="006F1F24">
        <w:rPr>
          <w:color w:val="010202"/>
          <w:spacing w:val="-1"/>
        </w:rPr>
        <w:t xml:space="preserve"> </w:t>
      </w:r>
      <w:r w:rsidR="006F1F24">
        <w:rPr>
          <w:color w:val="010202"/>
        </w:rPr>
        <w:t xml:space="preserve">with </w:t>
      </w:r>
      <w:r w:rsidR="006F1F24">
        <w:rPr>
          <w:color w:val="010202"/>
          <w:spacing w:val="-1"/>
        </w:rPr>
        <w:t>White</w:t>
      </w:r>
      <w:r w:rsidR="006F1F24">
        <w:rPr>
          <w:color w:val="010202"/>
          <w:spacing w:val="25"/>
        </w:rPr>
        <w:t xml:space="preserve"> </w:t>
      </w:r>
      <w:r w:rsidR="006F1F24">
        <w:rPr>
          <w:color w:val="010202"/>
        </w:rPr>
        <w:t>omitted.</w:t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ind w:left="110" w:right="112" w:firstLine="0"/>
      </w:pPr>
      <w:r>
        <w:rPr>
          <w:color w:val="010202"/>
        </w:rPr>
        <w:t>HEDIS measures use predicted probabilities of race/ethnicity as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weights to develop estimates for each racial/ethnic group (Elliott et al.,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2009).</w:t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spacing w:line="275" w:lineRule="auto"/>
        <w:ind w:left="110" w:right="112" w:firstLine="0"/>
      </w:pPr>
      <w:r>
        <w:rPr>
          <w:color w:val="010202"/>
        </w:rPr>
        <w:t>Statistical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 xml:space="preserve">significance tests were used to compare the model-estimated scores for each racial/ethnic minority group to the score for Whites. A difference in </w:t>
      </w:r>
      <w:r>
        <w:rPr>
          <w:color w:val="010202"/>
          <w:spacing w:val="-1"/>
        </w:rPr>
        <w:t>scores</w:t>
      </w:r>
      <w:r>
        <w:rPr>
          <w:color w:val="010202"/>
        </w:rPr>
        <w:t xml:space="preserve"> is denoted as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 xml:space="preserve">statistically significant if there is less than a 5-percent chance that the difference could have resulted due to sampling error alone. Differences that are statistically significant and larger than three points on a 0-100 scale (CAHPS) or 3 percentage points (HEDIS) are further denoted as practically significant. That is, in the charts that present national data on </w:t>
      </w:r>
      <w:r>
        <w:rPr>
          <w:color w:val="010202"/>
          <w:spacing w:val="-1"/>
        </w:rPr>
        <w:t>racial/ethnic</w:t>
      </w:r>
      <w:r>
        <w:rPr>
          <w:color w:val="010202"/>
          <w:spacing w:val="24"/>
        </w:rPr>
        <w:t xml:space="preserve"> </w:t>
      </w:r>
      <w:r>
        <w:rPr>
          <w:color w:val="010202"/>
        </w:rPr>
        <w:t>differences in patient experience (CAHPS) and clinical care (HEDIS),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 xml:space="preserve">differences that are not statistically significant or statistically significant but less than 3 points in magnitude are distinguished (through the use of symbols and labeling) </w:t>
      </w:r>
      <w:r>
        <w:rPr>
          <w:color w:val="010202"/>
          <w:spacing w:val="-1"/>
        </w:rPr>
        <w:t>from</w:t>
      </w:r>
      <w:r>
        <w:rPr>
          <w:color w:val="010202"/>
        </w:rPr>
        <w:t xml:space="preserve"> differences that are both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statistically significant and 3 points in magnitude or larger.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3-point criterion was selected because a 3-point increase in some CAHPS measures has been shown to be associated with a 30-percent reduction in disenrollment from health plans (Lied et al.,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2003).</w:t>
      </w:r>
    </w:p>
    <w:p w:rsidR="00AB4992" w:rsidRDefault="00AB4992">
      <w:pPr>
        <w:spacing w:line="275" w:lineRule="auto"/>
        <w:sectPr w:rsidR="00AB4992">
          <w:pgSz w:w="12240" w:h="15840"/>
          <w:pgMar w:top="1420" w:right="1460" w:bottom="1220" w:left="1340" w:header="0" w:footer="1032" w:gutter="0"/>
          <w:cols w:space="720"/>
        </w:sectPr>
      </w:pPr>
    </w:p>
    <w:p w:rsidR="00AB4992" w:rsidRDefault="006F1F24">
      <w:pPr>
        <w:pStyle w:val="Heading1"/>
        <w:rPr>
          <w:b w:val="0"/>
          <w:bCs w:val="0"/>
        </w:rPr>
      </w:pPr>
      <w:r>
        <w:rPr>
          <w:color w:val="010202"/>
        </w:rPr>
        <w:lastRenderedPageBreak/>
        <w:t>References</w:t>
      </w:r>
    </w:p>
    <w:p w:rsidR="00AB4992" w:rsidRDefault="00AB4992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AB4992" w:rsidRDefault="006F1F24">
      <w:pPr>
        <w:pStyle w:val="BodyText"/>
        <w:ind w:right="257" w:hanging="720"/>
      </w:pPr>
      <w:proofErr w:type="gramStart"/>
      <w:r>
        <w:rPr>
          <w:color w:val="010202"/>
        </w:rPr>
        <w:t xml:space="preserve">Agency for Healthcare Research and </w:t>
      </w:r>
      <w:r>
        <w:rPr>
          <w:color w:val="010202"/>
          <w:spacing w:val="-1"/>
        </w:rPr>
        <w:t>Quality.</w:t>
      </w:r>
      <w:proofErr w:type="gramEnd"/>
      <w:r>
        <w:rPr>
          <w:color w:val="010202"/>
        </w:rPr>
        <w:t xml:space="preserve"> </w:t>
      </w:r>
      <w:proofErr w:type="gramStart"/>
      <w:r>
        <w:rPr>
          <w:color w:val="010202"/>
        </w:rPr>
        <w:t xml:space="preserve">(2015). “Data </w:t>
      </w:r>
      <w:r>
        <w:rPr>
          <w:color w:val="010202"/>
          <w:spacing w:val="-1"/>
        </w:rPr>
        <w:t>Sources—National</w:t>
      </w:r>
      <w:r>
        <w:rPr>
          <w:color w:val="010202"/>
        </w:rPr>
        <w:t xml:space="preserve"> Committee for</w:t>
      </w:r>
      <w:r>
        <w:rPr>
          <w:color w:val="010202"/>
          <w:spacing w:val="44"/>
        </w:rPr>
        <w:t xml:space="preserve"> </w:t>
      </w:r>
      <w:r>
        <w:rPr>
          <w:color w:val="010202"/>
        </w:rPr>
        <w:t xml:space="preserve">Quality Assurance </w:t>
      </w:r>
      <w:r>
        <w:rPr>
          <w:color w:val="010202"/>
          <w:spacing w:val="-1"/>
        </w:rPr>
        <w:t>(NCQA).”</w:t>
      </w:r>
      <w:proofErr w:type="gramEnd"/>
      <w:r>
        <w:fldChar w:fldCharType="begin"/>
      </w:r>
      <w:r>
        <w:instrText xml:space="preserve"> HYPERLINK "http://archive.ahrq.gov/research/findings/nhqrdr/nhqrdr09/datasources/ncqa.html" \h </w:instrText>
      </w:r>
      <w:r>
        <w:fldChar w:fldCharType="separate"/>
      </w:r>
      <w:r>
        <w:rPr>
          <w:color w:val="010202"/>
          <w:spacing w:val="27"/>
        </w:rPr>
        <w:t xml:space="preserve"> </w:t>
      </w:r>
      <w:r>
        <w:rPr>
          <w:color w:val="010202"/>
        </w:rPr>
        <w:t>http://archive.ahrq.gov/research/findings/nhqrdr/nhqrdr09/datasources/ncqa.html</w:t>
      </w:r>
      <w:r>
        <w:rPr>
          <w:color w:val="010202"/>
        </w:rPr>
        <w:fldChar w:fldCharType="end"/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ind w:left="469"/>
      </w:pPr>
      <w:proofErr w:type="gramStart"/>
      <w:r>
        <w:rPr>
          <w:color w:val="010202"/>
        </w:rPr>
        <w:t xml:space="preserve">Elliott </w:t>
      </w:r>
      <w:r>
        <w:rPr>
          <w:color w:val="010202"/>
          <w:spacing w:val="-1"/>
        </w:rPr>
        <w:t>MN,</w:t>
      </w:r>
      <w:r>
        <w:rPr>
          <w:color w:val="010202"/>
        </w:rPr>
        <w:t xml:space="preserve"> Morrison PA,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Fremont A,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McCaffrey DM,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Pantoja P,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 xml:space="preserve">Lurie </w:t>
      </w:r>
      <w:r>
        <w:rPr>
          <w:color w:val="010202"/>
          <w:spacing w:val="-1"/>
        </w:rPr>
        <w:t>N.</w:t>
      </w:r>
      <w:r>
        <w:rPr>
          <w:color w:val="010202"/>
        </w:rPr>
        <w:t xml:space="preserve"> (2009).</w:t>
      </w:r>
      <w:proofErr w:type="gramEnd"/>
      <w:r>
        <w:rPr>
          <w:color w:val="010202"/>
        </w:rPr>
        <w:t xml:space="preserve"> </w:t>
      </w:r>
      <w:proofErr w:type="gramStart"/>
      <w:r>
        <w:rPr>
          <w:color w:val="010202"/>
        </w:rPr>
        <w:t>“Using the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 xml:space="preserve">Census </w:t>
      </w:r>
      <w:r>
        <w:rPr>
          <w:color w:val="010202"/>
          <w:spacing w:val="-1"/>
        </w:rPr>
        <w:t>Bureau’s</w:t>
      </w:r>
      <w:r>
        <w:rPr>
          <w:color w:val="010202"/>
        </w:rPr>
        <w:t xml:space="preserve"> Surname List to Improve Estimates of Race/Ethnicity and Associated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Disparities.”</w:t>
      </w:r>
      <w:proofErr w:type="gramEnd"/>
      <w:r>
        <w:rPr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Health</w:t>
      </w:r>
      <w:r>
        <w:rPr>
          <w:rFonts w:cs="Calibri"/>
          <w:i/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Services</w:t>
      </w:r>
      <w:r>
        <w:rPr>
          <w:rFonts w:cs="Calibri"/>
          <w:i/>
          <w:color w:val="010202"/>
        </w:rPr>
        <w:t xml:space="preserve"> and </w:t>
      </w:r>
      <w:r>
        <w:rPr>
          <w:rFonts w:cs="Calibri"/>
          <w:i/>
          <w:color w:val="010202"/>
          <w:spacing w:val="-1"/>
        </w:rPr>
        <w:t>Outcomes</w:t>
      </w:r>
      <w:r>
        <w:rPr>
          <w:rFonts w:cs="Calibri"/>
          <w:i/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Research</w:t>
      </w:r>
      <w:r>
        <w:rPr>
          <w:rFonts w:cs="Calibri"/>
          <w:i/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Methodology</w:t>
      </w:r>
      <w:r>
        <w:rPr>
          <w:color w:val="010202"/>
          <w:spacing w:val="-1"/>
        </w:rPr>
        <w:t>, 9(2):69-83.</w:t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ind w:left="469"/>
      </w:pPr>
      <w:r>
        <w:rPr>
          <w:color w:val="010202"/>
        </w:rPr>
        <w:t>Lied TR,</w:t>
      </w:r>
      <w:r>
        <w:rPr>
          <w:color w:val="010202"/>
          <w:spacing w:val="5"/>
        </w:rPr>
        <w:t xml:space="preserve"> </w:t>
      </w:r>
      <w:proofErr w:type="spellStart"/>
      <w:r>
        <w:rPr>
          <w:color w:val="010202"/>
        </w:rPr>
        <w:t>Sheingold</w:t>
      </w:r>
      <w:proofErr w:type="spellEnd"/>
      <w:r>
        <w:rPr>
          <w:color w:val="010202"/>
        </w:rPr>
        <w:t xml:space="preserve"> SH,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Landon BE,</w:t>
      </w:r>
      <w:r>
        <w:rPr>
          <w:color w:val="010202"/>
          <w:spacing w:val="-6"/>
        </w:rPr>
        <w:t xml:space="preserve"> </w:t>
      </w:r>
      <w:proofErr w:type="spellStart"/>
      <w:r>
        <w:rPr>
          <w:color w:val="010202"/>
        </w:rPr>
        <w:t>Shaul</w:t>
      </w:r>
      <w:proofErr w:type="spellEnd"/>
      <w:r>
        <w:rPr>
          <w:color w:val="010202"/>
          <w:spacing w:val="5"/>
        </w:rPr>
        <w:t xml:space="preserve"> </w:t>
      </w:r>
      <w:r>
        <w:rPr>
          <w:color w:val="010202"/>
        </w:rPr>
        <w:t>JA,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 xml:space="preserve">Cleary </w:t>
      </w:r>
      <w:r>
        <w:rPr>
          <w:color w:val="010202"/>
          <w:spacing w:val="-1"/>
        </w:rPr>
        <w:t>PD.</w:t>
      </w:r>
      <w:r>
        <w:rPr>
          <w:color w:val="010202"/>
        </w:rPr>
        <w:t xml:space="preserve"> (2003). “Beneficiary </w:t>
      </w:r>
      <w:r>
        <w:rPr>
          <w:color w:val="010202"/>
          <w:spacing w:val="-1"/>
        </w:rPr>
        <w:t>Reported</w:t>
      </w:r>
      <w:r>
        <w:rPr>
          <w:color w:val="010202"/>
          <w:spacing w:val="28"/>
        </w:rPr>
        <w:t xml:space="preserve"> </w:t>
      </w:r>
      <w:r>
        <w:rPr>
          <w:color w:val="010202"/>
        </w:rPr>
        <w:t>Experiences and Voluntary Disenrollment in Medicare Managed Care.”</w:t>
      </w:r>
      <w:r>
        <w:rPr>
          <w:color w:val="010202"/>
          <w:spacing w:val="1"/>
        </w:rPr>
        <w:t xml:space="preserve"> </w:t>
      </w:r>
      <w:r>
        <w:rPr>
          <w:rFonts w:cs="Calibri"/>
          <w:i/>
          <w:color w:val="010202"/>
          <w:spacing w:val="-1"/>
        </w:rPr>
        <w:t>Health</w:t>
      </w:r>
      <w:r>
        <w:rPr>
          <w:rFonts w:cs="Calibri"/>
          <w:i/>
          <w:color w:val="010202"/>
        </w:rPr>
        <w:t xml:space="preserve"> Care</w:t>
      </w:r>
      <w:r>
        <w:rPr>
          <w:rFonts w:cs="Calibri"/>
          <w:i/>
          <w:color w:val="010202"/>
          <w:spacing w:val="25"/>
        </w:rPr>
        <w:t xml:space="preserve"> </w:t>
      </w:r>
      <w:r>
        <w:rPr>
          <w:rFonts w:cs="Calibri"/>
          <w:i/>
          <w:color w:val="010202"/>
        </w:rPr>
        <w:t xml:space="preserve">Financing </w:t>
      </w:r>
      <w:r>
        <w:rPr>
          <w:rFonts w:cs="Calibri"/>
          <w:i/>
          <w:color w:val="010202"/>
          <w:spacing w:val="-1"/>
        </w:rPr>
        <w:t>Review</w:t>
      </w:r>
      <w:r>
        <w:rPr>
          <w:color w:val="010202"/>
          <w:spacing w:val="-1"/>
        </w:rPr>
        <w:t>, 25(1):55-66.</w:t>
      </w:r>
    </w:p>
    <w:p w:rsidR="00AB4992" w:rsidRDefault="00AB4992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AB4992" w:rsidRDefault="006F1F24">
      <w:pPr>
        <w:pStyle w:val="BodyText"/>
        <w:spacing w:line="241" w:lineRule="auto"/>
        <w:ind w:left="469"/>
      </w:pPr>
      <w:r>
        <w:rPr>
          <w:color w:val="010202"/>
        </w:rPr>
        <w:t>Martino S,</w:t>
      </w:r>
      <w:r>
        <w:rPr>
          <w:color w:val="010202"/>
          <w:spacing w:val="-1"/>
        </w:rPr>
        <w:t xml:space="preserve"> </w:t>
      </w:r>
      <w:proofErr w:type="spellStart"/>
      <w:r>
        <w:rPr>
          <w:color w:val="010202"/>
        </w:rPr>
        <w:t>Weinick</w:t>
      </w:r>
      <w:proofErr w:type="spellEnd"/>
      <w:r>
        <w:rPr>
          <w:color w:val="010202"/>
        </w:rPr>
        <w:t xml:space="preserve"> R,</w:t>
      </w:r>
      <w:r>
        <w:rPr>
          <w:color w:val="010202"/>
          <w:spacing w:val="-1"/>
        </w:rPr>
        <w:t xml:space="preserve"> Kanouse</w:t>
      </w:r>
      <w:r>
        <w:rPr>
          <w:color w:val="010202"/>
        </w:rPr>
        <w:t xml:space="preserve"> DE,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Brown J,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Haviland AM,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Goldstein E, Adams JL,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 xml:space="preserve">Hambarsoomian </w:t>
      </w:r>
      <w:r>
        <w:rPr>
          <w:color w:val="010202"/>
          <w:spacing w:val="-1"/>
        </w:rPr>
        <w:t xml:space="preserve">K, </w:t>
      </w:r>
      <w:r>
        <w:rPr>
          <w:color w:val="010202"/>
        </w:rPr>
        <w:t xml:space="preserve">Elliott </w:t>
      </w:r>
      <w:r>
        <w:rPr>
          <w:color w:val="010202"/>
          <w:spacing w:val="-1"/>
        </w:rPr>
        <w:t>MN.</w:t>
      </w:r>
      <w:r>
        <w:rPr>
          <w:color w:val="010202"/>
        </w:rPr>
        <w:t xml:space="preserve"> </w:t>
      </w:r>
      <w:proofErr w:type="gramStart"/>
      <w:r>
        <w:rPr>
          <w:color w:val="010202"/>
        </w:rPr>
        <w:t>(2013). “Reporting CAHPS and HEDIS Data by Race/Ethnicity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for Medicare Beneficiaries.”</w:t>
      </w:r>
      <w:proofErr w:type="gramEnd"/>
      <w:r>
        <w:rPr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Health</w:t>
      </w:r>
      <w:r>
        <w:rPr>
          <w:rFonts w:cs="Calibri"/>
          <w:i/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Services</w:t>
      </w:r>
      <w:r>
        <w:rPr>
          <w:rFonts w:cs="Calibri"/>
          <w:i/>
          <w:color w:val="010202"/>
        </w:rPr>
        <w:t xml:space="preserve"> </w:t>
      </w:r>
      <w:r>
        <w:rPr>
          <w:rFonts w:cs="Calibri"/>
          <w:i/>
          <w:color w:val="010202"/>
          <w:spacing w:val="-1"/>
        </w:rPr>
        <w:t>Research,</w:t>
      </w:r>
      <w:r>
        <w:rPr>
          <w:rFonts w:cs="Calibri"/>
          <w:i/>
          <w:color w:val="010202"/>
        </w:rPr>
        <w:t xml:space="preserve"> </w:t>
      </w:r>
      <w:r>
        <w:rPr>
          <w:color w:val="010202"/>
          <w:spacing w:val="-1"/>
        </w:rPr>
        <w:t>48(2):417-434.</w:t>
      </w:r>
    </w:p>
    <w:p w:rsidR="00AB4992" w:rsidRDefault="006F1F24">
      <w:pPr>
        <w:pStyle w:val="BodyText"/>
        <w:spacing w:before="117"/>
        <w:ind w:hanging="720"/>
      </w:pPr>
      <w:proofErr w:type="gramStart"/>
      <w:r>
        <w:rPr>
          <w:color w:val="010202"/>
          <w:spacing w:val="-1"/>
        </w:rPr>
        <w:t>National</w:t>
      </w:r>
      <w:r>
        <w:rPr>
          <w:color w:val="010202"/>
        </w:rPr>
        <w:t xml:space="preserve"> Committee for Quality Assurance (NCQA).</w:t>
      </w:r>
      <w:proofErr w:type="gramEnd"/>
      <w:r>
        <w:rPr>
          <w:color w:val="010202"/>
          <w:spacing w:val="-1"/>
        </w:rPr>
        <w:t xml:space="preserve"> </w:t>
      </w:r>
      <w:proofErr w:type="gramStart"/>
      <w:r>
        <w:rPr>
          <w:color w:val="010202"/>
        </w:rPr>
        <w:t>(2015). “HEDIS &amp; Performance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Measurement.”</w:t>
      </w:r>
      <w:proofErr w:type="gramEnd"/>
    </w:p>
    <w:p w:rsidR="00AB4992" w:rsidRDefault="00774EA8">
      <w:pPr>
        <w:pStyle w:val="BodyText"/>
        <w:spacing w:line="288" w:lineRule="exact"/>
        <w:ind w:firstLine="0"/>
      </w:pPr>
      <w:hyperlink r:id="rId9">
        <w:r w:rsidR="006F1F24">
          <w:rPr>
            <w:color w:val="010202"/>
          </w:rPr>
          <w:t>http://www.ncqa.org/HEDISQualityMeasurement.aspx</w:t>
        </w:r>
      </w:hyperlink>
    </w:p>
    <w:sectPr w:rsidR="00AB4992">
      <w:pgSz w:w="12240" w:h="15840"/>
      <w:pgMar w:top="1420" w:right="1480" w:bottom="1220" w:left="13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A8" w:rsidRDefault="00774EA8">
      <w:r>
        <w:separator/>
      </w:r>
    </w:p>
  </w:endnote>
  <w:endnote w:type="continuationSeparator" w:id="0">
    <w:p w:rsidR="00774EA8" w:rsidRDefault="0077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92" w:rsidRDefault="000F4BD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9263380</wp:posOffset>
              </wp:positionV>
              <wp:extent cx="1276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992" w:rsidRDefault="006F1F24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102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C5C">
                            <w:rPr>
                              <w:rFonts w:ascii="Times New Roman"/>
                              <w:noProof/>
                              <w:color w:val="0102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29.4pt;width:10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" filled="f" stroked="f">
              <v:textbox inset="0,0,0,0">
                <w:txbxContent>
                  <w:p w:rsidR="00AB4992" w:rsidRDefault="006F1F24">
                    <w:pPr>
                      <w:pStyle w:val="BodyText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102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6C5C">
                      <w:rPr>
                        <w:rFonts w:ascii="Times New Roman"/>
                        <w:noProof/>
                        <w:color w:val="0102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A8" w:rsidRDefault="00774EA8">
      <w:r>
        <w:separator/>
      </w:r>
    </w:p>
  </w:footnote>
  <w:footnote w:type="continuationSeparator" w:id="0">
    <w:p w:rsidR="00774EA8" w:rsidRDefault="0077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B3003"/>
    <w:multiLevelType w:val="hybridMultilevel"/>
    <w:tmpl w:val="6448A334"/>
    <w:lvl w:ilvl="0" w:tplc="98D2466E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color w:val="010202"/>
        <w:sz w:val="24"/>
        <w:szCs w:val="24"/>
      </w:rPr>
    </w:lvl>
    <w:lvl w:ilvl="1" w:tplc="73CA814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1682D6E4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85B288F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547C88D6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0F243236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6" w:tplc="9D08BD6A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4318572A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5478FFA8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92"/>
    <w:rsid w:val="000016AA"/>
    <w:rsid w:val="000F4BDD"/>
    <w:rsid w:val="00272F4E"/>
    <w:rsid w:val="004C6C5C"/>
    <w:rsid w:val="005C2B2E"/>
    <w:rsid w:val="006F1F24"/>
    <w:rsid w:val="00774EA8"/>
    <w:rsid w:val="00A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ind w:left="11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ind w:left="11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qa.org/HEDISQualityMeasure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Data Source and Methods</vt:lpstr>
    </vt:vector>
  </TitlesOfParts>
  <Company>RAND Corporation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Data Source and Methods</dc:title>
  <dc:subject>This document is Appendix A and details Data Sources and Methods for the document entitled, "National Data on the Patient Experience and Clinical Care of Medicare Beneficiaries."</dc:subject>
  <dc:creator>RAND Corporation and CMS</dc:creator>
  <cp:keywords>Medicare, Medicare Advantage Plan, quality of care, healthcare, race/ethnicity,</cp:keywords>
  <cp:lastModifiedBy>RAND Authorized User</cp:lastModifiedBy>
  <cp:revision>3</cp:revision>
  <dcterms:created xsi:type="dcterms:W3CDTF">2016-02-19T18:56:00Z</dcterms:created>
  <dcterms:modified xsi:type="dcterms:W3CDTF">2016-02-19T18:56:00Z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2016-02-04T00:00:00Z</vt:filetime>
  </property>
</Properties>
</file>