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B4AE2" w14:textId="77777777" w:rsidR="00F547E7" w:rsidRDefault="00F547E7" w:rsidP="00C80DD5">
      <w:pPr>
        <w:pStyle w:val="BodyText"/>
        <w:kinsoku w:val="0"/>
        <w:overflowPunct w:val="0"/>
        <w:spacing w:before="1"/>
        <w:ind w:left="0"/>
        <w:jc w:val="both"/>
        <w:rPr>
          <w:rFonts w:ascii="Times New Roman" w:hAnsi="Times New Roman" w:cs="Times New Roman"/>
          <w:sz w:val="15"/>
          <w:szCs w:val="15"/>
        </w:rPr>
      </w:pPr>
    </w:p>
    <w:p w14:paraId="45549D50" w14:textId="4C835A57" w:rsidR="00F547E7" w:rsidRDefault="00F547E7" w:rsidP="00C80DD5">
      <w:pPr>
        <w:pStyle w:val="Heading1"/>
        <w:kinsoku w:val="0"/>
        <w:overflowPunct w:val="0"/>
        <w:spacing w:before="56" w:line="240" w:lineRule="auto"/>
        <w:ind w:left="100" w:firstLine="0"/>
        <w:jc w:val="both"/>
        <w:rPr>
          <w:color w:val="426DC4"/>
        </w:rPr>
      </w:pPr>
      <w:r>
        <w:rPr>
          <w:color w:val="426DC4"/>
        </w:rPr>
        <w:t>20</w:t>
      </w:r>
      <w:r w:rsidR="002815EF">
        <w:rPr>
          <w:color w:val="426DC4"/>
        </w:rPr>
        <w:t xml:space="preserve">19 </w:t>
      </w:r>
      <w:r w:rsidR="00B36714">
        <w:rPr>
          <w:color w:val="426DC4"/>
        </w:rPr>
        <w:t xml:space="preserve">Benefit Year </w:t>
      </w:r>
      <w:r>
        <w:rPr>
          <w:color w:val="426DC4"/>
        </w:rPr>
        <w:t>Exchange</w:t>
      </w:r>
      <w:r w:rsidR="00B36714">
        <w:rPr>
          <w:color w:val="426DC4"/>
        </w:rPr>
        <w:t>s on the Federal Platform</w:t>
      </w:r>
      <w:r>
        <w:rPr>
          <w:color w:val="426DC4"/>
        </w:rPr>
        <w:t>: Plan Selections by Issuer: A Methodological Overview</w:t>
      </w:r>
    </w:p>
    <w:p w14:paraId="5A23DE67" w14:textId="77777777" w:rsidR="00F547E7" w:rsidRDefault="00F547E7" w:rsidP="00C80DD5">
      <w:pPr>
        <w:pStyle w:val="BodyText"/>
        <w:kinsoku w:val="0"/>
        <w:overflowPunct w:val="0"/>
        <w:spacing w:before="12"/>
        <w:ind w:left="0"/>
        <w:jc w:val="both"/>
        <w:rPr>
          <w:b/>
          <w:bCs/>
          <w:sz w:val="21"/>
          <w:szCs w:val="21"/>
        </w:rPr>
      </w:pPr>
    </w:p>
    <w:p w14:paraId="2D17F52E" w14:textId="58E32ACE" w:rsidR="00F547E7" w:rsidRDefault="00F547E7" w:rsidP="00C80DD5">
      <w:pPr>
        <w:pStyle w:val="BodyText"/>
        <w:kinsoku w:val="0"/>
        <w:overflowPunct w:val="0"/>
        <w:jc w:val="both"/>
        <w:rPr>
          <w:b/>
          <w:bCs/>
          <w:i/>
          <w:iCs/>
        </w:rPr>
      </w:pPr>
      <w:r>
        <w:rPr>
          <w:b/>
          <w:bCs/>
          <w:i/>
          <w:iCs/>
        </w:rPr>
        <w:t>Fall 20</w:t>
      </w:r>
      <w:r w:rsidR="00462E83">
        <w:rPr>
          <w:b/>
          <w:bCs/>
          <w:i/>
          <w:iCs/>
        </w:rPr>
        <w:t>20</w:t>
      </w:r>
    </w:p>
    <w:p w14:paraId="0B259E6F" w14:textId="77777777" w:rsidR="00F547E7" w:rsidRDefault="00F547E7" w:rsidP="00C80DD5">
      <w:pPr>
        <w:pStyle w:val="BodyText"/>
        <w:kinsoku w:val="0"/>
        <w:overflowPunct w:val="0"/>
        <w:jc w:val="both"/>
      </w:pPr>
      <w:r>
        <w:t>Prepared by: The Centers for Medicare &amp; Medicaid Services</w:t>
      </w:r>
    </w:p>
    <w:p w14:paraId="3D3BCF0F" w14:textId="77777777" w:rsidR="00F547E7" w:rsidRDefault="00F547E7" w:rsidP="00C80DD5">
      <w:pPr>
        <w:pStyle w:val="BodyText"/>
        <w:kinsoku w:val="0"/>
        <w:overflowPunct w:val="0"/>
        <w:ind w:left="0"/>
        <w:jc w:val="both"/>
      </w:pPr>
    </w:p>
    <w:p w14:paraId="3A8337E9" w14:textId="77777777" w:rsidR="00F547E7" w:rsidRDefault="00F547E7" w:rsidP="00C80DD5">
      <w:pPr>
        <w:pStyle w:val="Heading1"/>
        <w:numPr>
          <w:ilvl w:val="0"/>
          <w:numId w:val="1"/>
        </w:numPr>
        <w:tabs>
          <w:tab w:val="left" w:pos="321"/>
        </w:tabs>
        <w:kinsoku w:val="0"/>
        <w:overflowPunct w:val="0"/>
        <w:ind w:hanging="220"/>
        <w:jc w:val="both"/>
        <w:rPr>
          <w:color w:val="426DC4"/>
        </w:rPr>
      </w:pPr>
      <w:r>
        <w:rPr>
          <w:color w:val="426DC4"/>
        </w:rPr>
        <w:t>Background</w:t>
      </w:r>
    </w:p>
    <w:p w14:paraId="5704A7BB" w14:textId="7DF3A6B4" w:rsidR="00F547E7" w:rsidRDefault="00F547E7" w:rsidP="00C80DD5">
      <w:pPr>
        <w:pStyle w:val="BodyText"/>
        <w:kinsoku w:val="0"/>
        <w:overflowPunct w:val="0"/>
        <w:ind w:right="216"/>
        <w:jc w:val="both"/>
        <w:rPr>
          <w:color w:val="242424"/>
        </w:rPr>
      </w:pPr>
      <w:proofErr w:type="gramStart"/>
      <w:r>
        <w:rPr>
          <w:color w:val="242424"/>
        </w:rPr>
        <w:t>As part of the Trump Administration’s efforts</w:t>
      </w:r>
      <w:r w:rsidR="006810D9">
        <w:rPr>
          <w:color w:val="242424"/>
        </w:rPr>
        <w:t xml:space="preserve"> </w:t>
      </w:r>
      <w:r>
        <w:rPr>
          <w:color w:val="242424"/>
        </w:rPr>
        <w:t>to make our health care system more transparent for patients, the Centers for Medicare &amp; Medicaid Services (CMS) has prepared public data sets to provide the total number of plan selections by county for the 39 states that used the HealthCare.gov eligibility and enrollment platform for enrollment in individual market Exchanges in the 20</w:t>
      </w:r>
      <w:r w:rsidR="00462E83">
        <w:rPr>
          <w:color w:val="242424"/>
        </w:rPr>
        <w:t>19</w:t>
      </w:r>
      <w:r w:rsidR="00C44821">
        <w:rPr>
          <w:color w:val="242424"/>
        </w:rPr>
        <w:t xml:space="preserve"> plan</w:t>
      </w:r>
      <w:r>
        <w:rPr>
          <w:color w:val="242424"/>
        </w:rPr>
        <w:t xml:space="preserve"> year.</w:t>
      </w:r>
      <w:proofErr w:type="gramEnd"/>
      <w:r>
        <w:rPr>
          <w:color w:val="242424"/>
        </w:rPr>
        <w:t xml:space="preserve"> These data tables include the cumulative consumer </w:t>
      </w:r>
      <w:r w:rsidR="00B36714">
        <w:rPr>
          <w:color w:val="242424"/>
        </w:rPr>
        <w:t xml:space="preserve">individual market medical </w:t>
      </w:r>
      <w:r>
        <w:rPr>
          <w:color w:val="242424"/>
        </w:rPr>
        <w:t xml:space="preserve">and </w:t>
      </w:r>
      <w:r w:rsidR="008E748D">
        <w:rPr>
          <w:color w:val="242424"/>
        </w:rPr>
        <w:t>Stand-alone D</w:t>
      </w:r>
      <w:r>
        <w:rPr>
          <w:color w:val="242424"/>
        </w:rPr>
        <w:t xml:space="preserve">ental </w:t>
      </w:r>
      <w:r w:rsidR="008E748D">
        <w:rPr>
          <w:color w:val="242424"/>
        </w:rPr>
        <w:t>P</w:t>
      </w:r>
      <w:r>
        <w:rPr>
          <w:color w:val="242424"/>
        </w:rPr>
        <w:t xml:space="preserve">lan </w:t>
      </w:r>
      <w:r w:rsidR="008E748D">
        <w:rPr>
          <w:color w:val="242424"/>
        </w:rPr>
        <w:t xml:space="preserve">Qualified Health Plan (QHP) </w:t>
      </w:r>
      <w:r>
        <w:rPr>
          <w:color w:val="242424"/>
        </w:rPr>
        <w:t>selections from the Exchanges in those states. These tables include county-level and issuer plan selection information organized by age, household income as a percentage of the Federal Poverty Level (FPL), plan, gender, and tobacco status. The tables also include information on disenrollment counts by issuer.</w:t>
      </w:r>
    </w:p>
    <w:p w14:paraId="68A392B6" w14:textId="77777777" w:rsidR="00F547E7" w:rsidRDefault="00F547E7" w:rsidP="00C80DD5">
      <w:pPr>
        <w:pStyle w:val="BodyText"/>
        <w:kinsoku w:val="0"/>
        <w:overflowPunct w:val="0"/>
        <w:spacing w:before="1"/>
        <w:ind w:left="0"/>
        <w:jc w:val="both"/>
      </w:pPr>
      <w:bookmarkStart w:id="0" w:name="_GoBack"/>
      <w:bookmarkEnd w:id="0"/>
    </w:p>
    <w:p w14:paraId="664051E4" w14:textId="77777777" w:rsidR="00F547E7" w:rsidRDefault="00F547E7" w:rsidP="00C80DD5">
      <w:pPr>
        <w:pStyle w:val="Heading1"/>
        <w:numPr>
          <w:ilvl w:val="0"/>
          <w:numId w:val="1"/>
        </w:numPr>
        <w:tabs>
          <w:tab w:val="left" w:pos="323"/>
        </w:tabs>
        <w:kinsoku w:val="0"/>
        <w:overflowPunct w:val="0"/>
        <w:spacing w:before="1"/>
        <w:ind w:left="322" w:hanging="222"/>
        <w:jc w:val="both"/>
        <w:rPr>
          <w:color w:val="426DC4"/>
        </w:rPr>
      </w:pPr>
      <w:r>
        <w:rPr>
          <w:color w:val="426DC4"/>
        </w:rPr>
        <w:t>Key Data</w:t>
      </w:r>
      <w:r>
        <w:rPr>
          <w:color w:val="426DC4"/>
          <w:spacing w:val="-9"/>
        </w:rPr>
        <w:t xml:space="preserve"> </w:t>
      </w:r>
      <w:r>
        <w:rPr>
          <w:color w:val="426DC4"/>
        </w:rPr>
        <w:t>Sources</w:t>
      </w:r>
    </w:p>
    <w:p w14:paraId="4C9288BF" w14:textId="66370F6A" w:rsidR="00F547E7" w:rsidRDefault="00F547E7" w:rsidP="00F83CEC">
      <w:pPr>
        <w:pStyle w:val="BodyText"/>
        <w:kinsoku w:val="0"/>
        <w:overflowPunct w:val="0"/>
        <w:ind w:right="186"/>
        <w:rPr>
          <w:color w:val="242424"/>
        </w:rPr>
      </w:pPr>
      <w:r>
        <w:t xml:space="preserve">Data </w:t>
      </w:r>
      <w:proofErr w:type="gramStart"/>
      <w:r>
        <w:t>were obtained</w:t>
      </w:r>
      <w:proofErr w:type="gramEnd"/>
      <w:r>
        <w:t xml:space="preserve"> from the CMS Multi-Dimensional Insurance Data Analytics System (MIDAS). </w:t>
      </w:r>
      <w:r>
        <w:rPr>
          <w:color w:val="242424"/>
        </w:rPr>
        <w:t xml:space="preserve">The data represent the number of unique consumers eligible to enroll in a </w:t>
      </w:r>
      <w:r w:rsidR="00B36714">
        <w:rPr>
          <w:color w:val="242424"/>
        </w:rPr>
        <w:t xml:space="preserve">QHP </w:t>
      </w:r>
      <w:r>
        <w:rPr>
          <w:color w:val="242424"/>
        </w:rPr>
        <w:t>who selected a 20</w:t>
      </w:r>
      <w:r w:rsidR="00462E83">
        <w:rPr>
          <w:color w:val="242424"/>
        </w:rPr>
        <w:t>19</w:t>
      </w:r>
      <w:r>
        <w:rPr>
          <w:color w:val="242424"/>
        </w:rPr>
        <w:t xml:space="preserve"> </w:t>
      </w:r>
      <w:r w:rsidR="00B36714">
        <w:rPr>
          <w:color w:val="242424"/>
        </w:rPr>
        <w:t>QHP</w:t>
      </w:r>
      <w:r>
        <w:rPr>
          <w:color w:val="242424"/>
        </w:rPr>
        <w:t xml:space="preserve"> for coverage between January 1, 20</w:t>
      </w:r>
      <w:r w:rsidR="00462E83">
        <w:rPr>
          <w:color w:val="242424"/>
        </w:rPr>
        <w:t>19</w:t>
      </w:r>
      <w:r>
        <w:rPr>
          <w:color w:val="242424"/>
        </w:rPr>
        <w:t xml:space="preserve"> and December 31, 20</w:t>
      </w:r>
      <w:r w:rsidR="00462E83">
        <w:rPr>
          <w:color w:val="242424"/>
        </w:rPr>
        <w:t>19</w:t>
      </w:r>
      <w:r>
        <w:rPr>
          <w:color w:val="242424"/>
        </w:rPr>
        <w:t>. The data also represents unique eligible consumer and plan selection information for Stand-alone Dental Plan</w:t>
      </w:r>
      <w:r w:rsidR="00B36714">
        <w:rPr>
          <w:color w:val="242424"/>
        </w:rPr>
        <w:t xml:space="preserve"> QHPs</w:t>
      </w:r>
      <w:r>
        <w:rPr>
          <w:color w:val="242424"/>
        </w:rPr>
        <w:t xml:space="preserve">. The datasets do not include plan selections from the District of Columbia and the eleven states that had State-based Exchanges </w:t>
      </w:r>
      <w:r>
        <w:rPr>
          <w:color w:val="000000"/>
        </w:rPr>
        <w:t xml:space="preserve">that did not utilize the HealthCare.gov platform in </w:t>
      </w:r>
      <w:r>
        <w:rPr>
          <w:color w:val="242424"/>
        </w:rPr>
        <w:t>201</w:t>
      </w:r>
      <w:r w:rsidR="00462E83">
        <w:rPr>
          <w:color w:val="242424"/>
        </w:rPr>
        <w:t>9</w:t>
      </w:r>
      <w:r>
        <w:rPr>
          <w:color w:val="242424"/>
        </w:rPr>
        <w:t>.</w:t>
      </w:r>
      <w:r w:rsidR="00F83CEC">
        <w:rPr>
          <w:color w:val="242424"/>
        </w:rPr>
        <w:t xml:space="preserve"> </w:t>
      </w:r>
      <w:r>
        <w:rPr>
          <w:color w:val="242424"/>
        </w:rPr>
        <w:t>Plan selections for the 39 states</w:t>
      </w:r>
      <w:r w:rsidR="00137697">
        <w:rPr>
          <w:color w:val="242424"/>
        </w:rPr>
        <w:t xml:space="preserve"> that utilized the HealthCare.gov platform in 2019</w:t>
      </w:r>
      <w:r>
        <w:rPr>
          <w:color w:val="242424"/>
        </w:rPr>
        <w:t xml:space="preserve"> </w:t>
      </w:r>
      <w:proofErr w:type="gramStart"/>
      <w:r>
        <w:rPr>
          <w:color w:val="242424"/>
        </w:rPr>
        <w:t>were aggregated</w:t>
      </w:r>
      <w:proofErr w:type="gramEnd"/>
      <w:r>
        <w:rPr>
          <w:color w:val="242424"/>
        </w:rPr>
        <w:t xml:space="preserve"> by county according to the residency address of the policy’s subscriber. Metrics with 10 or fewer plan selections </w:t>
      </w:r>
      <w:proofErr w:type="gramStart"/>
      <w:r>
        <w:rPr>
          <w:color w:val="242424"/>
        </w:rPr>
        <w:t>were suppressed</w:t>
      </w:r>
      <w:proofErr w:type="gramEnd"/>
      <w:r>
        <w:rPr>
          <w:color w:val="242424"/>
        </w:rPr>
        <w:t xml:space="preserve"> due to privacy concerns.</w:t>
      </w:r>
    </w:p>
    <w:p w14:paraId="2C94D6F6" w14:textId="77777777" w:rsidR="00F547E7" w:rsidRDefault="00F547E7" w:rsidP="00C80DD5">
      <w:pPr>
        <w:pStyle w:val="BodyText"/>
        <w:kinsoku w:val="0"/>
        <w:overflowPunct w:val="0"/>
        <w:spacing w:before="12"/>
        <w:ind w:left="0"/>
        <w:jc w:val="both"/>
        <w:rPr>
          <w:sz w:val="21"/>
          <w:szCs w:val="21"/>
        </w:rPr>
      </w:pPr>
    </w:p>
    <w:p w14:paraId="65077175" w14:textId="77777777" w:rsidR="00F547E7" w:rsidRDefault="00F547E7" w:rsidP="00C80DD5">
      <w:pPr>
        <w:pStyle w:val="Heading1"/>
        <w:numPr>
          <w:ilvl w:val="0"/>
          <w:numId w:val="1"/>
        </w:numPr>
        <w:tabs>
          <w:tab w:val="left" w:pos="321"/>
        </w:tabs>
        <w:kinsoku w:val="0"/>
        <w:overflowPunct w:val="0"/>
        <w:ind w:hanging="220"/>
        <w:jc w:val="both"/>
        <w:rPr>
          <w:color w:val="426DC4"/>
        </w:rPr>
      </w:pPr>
      <w:r>
        <w:rPr>
          <w:color w:val="426DC4"/>
        </w:rPr>
        <w:t>Data</w:t>
      </w:r>
      <w:r>
        <w:rPr>
          <w:color w:val="426DC4"/>
          <w:spacing w:val="-2"/>
        </w:rPr>
        <w:t xml:space="preserve"> </w:t>
      </w:r>
      <w:r>
        <w:rPr>
          <w:color w:val="426DC4"/>
        </w:rPr>
        <w:t>Contents</w:t>
      </w:r>
    </w:p>
    <w:p w14:paraId="69988A64" w14:textId="77777777" w:rsidR="00F547E7" w:rsidRDefault="00F547E7" w:rsidP="00C80DD5">
      <w:pPr>
        <w:pStyle w:val="BodyText"/>
        <w:kinsoku w:val="0"/>
        <w:overflowPunct w:val="0"/>
        <w:spacing w:line="267" w:lineRule="exact"/>
        <w:jc w:val="both"/>
        <w:rPr>
          <w:color w:val="242424"/>
        </w:rPr>
      </w:pPr>
      <w:r>
        <w:rPr>
          <w:color w:val="242424"/>
        </w:rPr>
        <w:t>The following variables are included within the datasets:</w:t>
      </w:r>
    </w:p>
    <w:p w14:paraId="1C0205F5" w14:textId="77777777" w:rsidR="00F547E7" w:rsidRDefault="00F547E7" w:rsidP="00C80DD5">
      <w:pPr>
        <w:pStyle w:val="BodyText"/>
        <w:kinsoku w:val="0"/>
        <w:overflowPunct w:val="0"/>
        <w:ind w:left="0"/>
        <w:jc w:val="both"/>
      </w:pPr>
    </w:p>
    <w:p w14:paraId="14AB4380" w14:textId="4C272B97" w:rsidR="00F547E7" w:rsidRDefault="00F547E7" w:rsidP="00C80DD5">
      <w:pPr>
        <w:pStyle w:val="BodyText"/>
        <w:kinsoku w:val="0"/>
        <w:overflowPunct w:val="0"/>
        <w:spacing w:line="480" w:lineRule="auto"/>
        <w:ind w:right="1214"/>
        <w:jc w:val="both"/>
        <w:rPr>
          <w:color w:val="242424"/>
        </w:rPr>
      </w:pPr>
      <w:r>
        <w:rPr>
          <w:b/>
          <w:bCs/>
          <w:color w:val="242424"/>
        </w:rPr>
        <w:t>County</w:t>
      </w:r>
      <w:r>
        <w:rPr>
          <w:color w:val="242424"/>
        </w:rPr>
        <w:t xml:space="preserve">: The County FIPS Code for the residency address provided by the policy’s subscriber. </w:t>
      </w:r>
      <w:r>
        <w:rPr>
          <w:b/>
          <w:bCs/>
          <w:color w:val="242424"/>
        </w:rPr>
        <w:t>State</w:t>
      </w:r>
      <w:r>
        <w:rPr>
          <w:color w:val="242424"/>
        </w:rPr>
        <w:t xml:space="preserve">: The state where the </w:t>
      </w:r>
      <w:r w:rsidR="00B36714">
        <w:rPr>
          <w:color w:val="242424"/>
        </w:rPr>
        <w:t>QHP</w:t>
      </w:r>
      <w:r>
        <w:rPr>
          <w:color w:val="242424"/>
        </w:rPr>
        <w:t xml:space="preserve"> </w:t>
      </w:r>
      <w:proofErr w:type="gramStart"/>
      <w:r>
        <w:rPr>
          <w:color w:val="242424"/>
        </w:rPr>
        <w:t>was purchased</w:t>
      </w:r>
      <w:proofErr w:type="gramEnd"/>
      <w:r>
        <w:rPr>
          <w:color w:val="242424"/>
        </w:rPr>
        <w:t>.</w:t>
      </w:r>
    </w:p>
    <w:p w14:paraId="09494185" w14:textId="15C014FA" w:rsidR="00F547E7" w:rsidRDefault="00F547E7" w:rsidP="00C80DD5">
      <w:pPr>
        <w:pStyle w:val="BodyText"/>
        <w:kinsoku w:val="0"/>
        <w:overflowPunct w:val="0"/>
        <w:ind w:right="103"/>
        <w:jc w:val="both"/>
        <w:rPr>
          <w:color w:val="000000"/>
        </w:rPr>
      </w:pPr>
      <w:r>
        <w:rPr>
          <w:b/>
          <w:bCs/>
          <w:color w:val="242424"/>
        </w:rPr>
        <w:t>Ever Enrolled</w:t>
      </w:r>
      <w:r>
        <w:rPr>
          <w:color w:val="242424"/>
        </w:rPr>
        <w:t>: The total number of unique consumers with at least one non-canceled plan selection during the 201</w:t>
      </w:r>
      <w:r w:rsidR="00462E83">
        <w:rPr>
          <w:color w:val="242424"/>
        </w:rPr>
        <w:t>9</w:t>
      </w:r>
      <w:r>
        <w:rPr>
          <w:color w:val="242424"/>
        </w:rPr>
        <w:t xml:space="preserve"> calendar year for the 39 states that were served by Exchanges that used HealthCare.gov, including the Federally-facilitated Exchanges</w:t>
      </w:r>
      <w:r w:rsidR="006810D9">
        <w:rPr>
          <w:color w:val="242424"/>
        </w:rPr>
        <w:t xml:space="preserve"> (FFE</w:t>
      </w:r>
      <w:r w:rsidR="002D2F16">
        <w:rPr>
          <w:color w:val="242424"/>
        </w:rPr>
        <w:t>s</w:t>
      </w:r>
      <w:r w:rsidR="006810D9">
        <w:rPr>
          <w:color w:val="242424"/>
        </w:rPr>
        <w:t>)</w:t>
      </w:r>
      <w:r>
        <w:rPr>
          <w:color w:val="242424"/>
        </w:rPr>
        <w:t xml:space="preserve">, which included FFEs where States perform plan management functions, and State-based Exchanges on the Federal platform. Consumers </w:t>
      </w:r>
      <w:r w:rsidR="00B36714">
        <w:rPr>
          <w:color w:val="242424"/>
        </w:rPr>
        <w:t xml:space="preserve">who </w:t>
      </w:r>
      <w:r>
        <w:rPr>
          <w:color w:val="242424"/>
        </w:rPr>
        <w:t xml:space="preserve">had multiple enrollments </w:t>
      </w:r>
      <w:proofErr w:type="gramStart"/>
      <w:r>
        <w:rPr>
          <w:color w:val="242424"/>
        </w:rPr>
        <w:t>were counted</w:t>
      </w:r>
      <w:proofErr w:type="gramEnd"/>
      <w:r>
        <w:rPr>
          <w:color w:val="242424"/>
        </w:rPr>
        <w:t xml:space="preserve"> once. </w:t>
      </w:r>
      <w:r>
        <w:rPr>
          <w:color w:val="000000"/>
        </w:rPr>
        <w:t xml:space="preserve">Demographics were based </w:t>
      </w:r>
      <w:proofErr w:type="gramStart"/>
      <w:r>
        <w:rPr>
          <w:color w:val="000000"/>
        </w:rPr>
        <w:t>off of</w:t>
      </w:r>
      <w:proofErr w:type="gramEnd"/>
      <w:r>
        <w:rPr>
          <w:color w:val="000000"/>
        </w:rPr>
        <w:t xml:space="preserve"> the most recent plan selection.</w:t>
      </w:r>
    </w:p>
    <w:p w14:paraId="5A6351BF" w14:textId="77777777" w:rsidR="00F547E7" w:rsidRDefault="00F547E7" w:rsidP="00C80DD5">
      <w:pPr>
        <w:pStyle w:val="BodyText"/>
        <w:kinsoku w:val="0"/>
        <w:overflowPunct w:val="0"/>
        <w:ind w:left="0"/>
        <w:jc w:val="both"/>
      </w:pPr>
    </w:p>
    <w:p w14:paraId="2F4402B3" w14:textId="3F1B1485" w:rsidR="00F547E7" w:rsidRDefault="00F547E7" w:rsidP="00C80DD5">
      <w:pPr>
        <w:pStyle w:val="BodyText"/>
        <w:kinsoku w:val="0"/>
        <w:overflowPunct w:val="0"/>
        <w:ind w:right="158"/>
        <w:jc w:val="both"/>
        <w:rPr>
          <w:color w:val="242424"/>
        </w:rPr>
      </w:pPr>
      <w:proofErr w:type="spellStart"/>
      <w:r>
        <w:rPr>
          <w:b/>
          <w:bCs/>
        </w:rPr>
        <w:t>Disenrollments</w:t>
      </w:r>
      <w:proofErr w:type="spellEnd"/>
      <w:r>
        <w:rPr>
          <w:b/>
          <w:bCs/>
        </w:rPr>
        <w:t xml:space="preserve">: </w:t>
      </w:r>
      <w:r>
        <w:t>The total number of unique consumers who only have a canceled plan selection(s) without coverage during the 201</w:t>
      </w:r>
      <w:r w:rsidR="00462E83">
        <w:t>9</w:t>
      </w:r>
      <w:r>
        <w:t xml:space="preserve"> calendar year for the 39 states that were served by Exchanges that used HealthCare.gov, including the </w:t>
      </w:r>
      <w:r w:rsidR="002D2F16">
        <w:t>FFEs</w:t>
      </w:r>
      <w:r>
        <w:t xml:space="preserve">, which included </w:t>
      </w:r>
      <w:r>
        <w:rPr>
          <w:color w:val="242424"/>
        </w:rPr>
        <w:t>FFEs where States perform plan management functions</w:t>
      </w:r>
      <w:r>
        <w:rPr>
          <w:color w:val="000000"/>
        </w:rPr>
        <w:t xml:space="preserve">, and State-based Exchanges on the Federal platform. </w:t>
      </w:r>
      <w:r>
        <w:rPr>
          <w:color w:val="242424"/>
        </w:rPr>
        <w:t xml:space="preserve">Consumers </w:t>
      </w:r>
      <w:r w:rsidR="008E748D">
        <w:rPr>
          <w:color w:val="242424"/>
        </w:rPr>
        <w:t xml:space="preserve">who </w:t>
      </w:r>
      <w:r>
        <w:rPr>
          <w:color w:val="242424"/>
        </w:rPr>
        <w:t xml:space="preserve">had multiple cancelations </w:t>
      </w:r>
      <w:proofErr w:type="gramStart"/>
      <w:r>
        <w:rPr>
          <w:color w:val="242424"/>
        </w:rPr>
        <w:t>were counted</w:t>
      </w:r>
      <w:proofErr w:type="gramEnd"/>
      <w:r>
        <w:rPr>
          <w:color w:val="242424"/>
        </w:rPr>
        <w:t xml:space="preserve"> once. In some plans, there were more </w:t>
      </w:r>
      <w:proofErr w:type="spellStart"/>
      <w:r>
        <w:rPr>
          <w:color w:val="242424"/>
        </w:rPr>
        <w:t>disenrollments</w:t>
      </w:r>
      <w:proofErr w:type="spellEnd"/>
      <w:r>
        <w:rPr>
          <w:color w:val="242424"/>
        </w:rPr>
        <w:t xml:space="preserve"> than </w:t>
      </w:r>
      <w:proofErr w:type="gramStart"/>
      <w:r>
        <w:rPr>
          <w:color w:val="242424"/>
        </w:rPr>
        <w:t>ever enrolled</w:t>
      </w:r>
      <w:proofErr w:type="gramEnd"/>
      <w:r>
        <w:rPr>
          <w:color w:val="242424"/>
        </w:rPr>
        <w:t xml:space="preserve"> plan selections. This occurred when a greater number of consumers selected a plan and never paid for the plan than consumers </w:t>
      </w:r>
      <w:r w:rsidR="008E748D">
        <w:rPr>
          <w:color w:val="242424"/>
        </w:rPr>
        <w:t xml:space="preserve">who </w:t>
      </w:r>
      <w:proofErr w:type="gramStart"/>
      <w:r>
        <w:rPr>
          <w:color w:val="242424"/>
        </w:rPr>
        <w:t>effectuated</w:t>
      </w:r>
      <w:proofErr w:type="gramEnd"/>
      <w:r>
        <w:rPr>
          <w:color w:val="242424"/>
        </w:rPr>
        <w:t xml:space="preserve"> coverage in the plan.</w:t>
      </w:r>
    </w:p>
    <w:p w14:paraId="5F285F99" w14:textId="77777777" w:rsidR="00F547E7" w:rsidRDefault="00F547E7" w:rsidP="00C80DD5">
      <w:pPr>
        <w:pStyle w:val="BodyText"/>
        <w:kinsoku w:val="0"/>
        <w:overflowPunct w:val="0"/>
        <w:ind w:right="158"/>
        <w:jc w:val="both"/>
        <w:rPr>
          <w:color w:val="242424"/>
        </w:rPr>
        <w:sectPr w:rsidR="00F547E7">
          <w:type w:val="continuous"/>
          <w:pgSz w:w="12240" w:h="15840"/>
          <w:pgMar w:top="1500" w:right="1340" w:bottom="280" w:left="1340" w:header="720" w:footer="720" w:gutter="0"/>
          <w:cols w:space="720"/>
          <w:noEndnote/>
        </w:sectPr>
      </w:pPr>
    </w:p>
    <w:p w14:paraId="2AE850DE" w14:textId="0CEF0F4E" w:rsidR="00F547E7" w:rsidRDefault="00F547E7" w:rsidP="00C80DD5">
      <w:pPr>
        <w:pStyle w:val="BodyText"/>
        <w:kinsoku w:val="0"/>
        <w:overflowPunct w:val="0"/>
        <w:spacing w:before="37"/>
        <w:ind w:right="93"/>
        <w:jc w:val="both"/>
        <w:rPr>
          <w:color w:val="000000"/>
        </w:rPr>
      </w:pPr>
      <w:r>
        <w:rPr>
          <w:b/>
          <w:bCs/>
          <w:color w:val="242424"/>
        </w:rPr>
        <w:lastRenderedPageBreak/>
        <w:t>Household Income as a Percentage of the Federal Poverty Level (FPL)</w:t>
      </w:r>
      <w:r>
        <w:rPr>
          <w:color w:val="242424"/>
        </w:rPr>
        <w:t xml:space="preserve">: </w:t>
      </w:r>
      <w:r>
        <w:rPr>
          <w:color w:val="000000"/>
        </w:rPr>
        <w:t>A consumer’s tax household income as a percent of the FPL was set when a consumer provided his</w:t>
      </w:r>
      <w:r w:rsidR="008E748D">
        <w:rPr>
          <w:color w:val="000000"/>
        </w:rPr>
        <w:t>/</w:t>
      </w:r>
      <w:r>
        <w:rPr>
          <w:color w:val="000000"/>
        </w:rPr>
        <w:t xml:space="preserve">her tax household income data on the application. Consumers provided tax household income data, along with the number of tax household members. These two factors </w:t>
      </w:r>
      <w:proofErr w:type="gramStart"/>
      <w:r>
        <w:rPr>
          <w:color w:val="000000"/>
        </w:rPr>
        <w:t>were used</w:t>
      </w:r>
      <w:proofErr w:type="gramEnd"/>
      <w:r>
        <w:rPr>
          <w:color w:val="000000"/>
        </w:rPr>
        <w:t xml:space="preserve"> to calculate the tax household income as a percent of FPL based on guidelines from the </w:t>
      </w:r>
      <w:r w:rsidR="00137697">
        <w:rPr>
          <w:color w:val="000000"/>
        </w:rPr>
        <w:t>Department of Health and Human Services (</w:t>
      </w:r>
      <w:r>
        <w:rPr>
          <w:color w:val="000000"/>
        </w:rPr>
        <w:t>HHS</w:t>
      </w:r>
      <w:r w:rsidR="00137697">
        <w:rPr>
          <w:color w:val="000000"/>
        </w:rPr>
        <w:t>)</w:t>
      </w:r>
      <w:r>
        <w:rPr>
          <w:color w:val="000000"/>
        </w:rPr>
        <w:t xml:space="preserve"> (https://aspe.hhs.gov/poverty-guidelines).</w:t>
      </w:r>
    </w:p>
    <w:p w14:paraId="2D7317C9" w14:textId="77777777" w:rsidR="00F547E7" w:rsidRDefault="00F547E7" w:rsidP="00C80DD5">
      <w:pPr>
        <w:pStyle w:val="BodyText"/>
        <w:kinsoku w:val="0"/>
        <w:overflowPunct w:val="0"/>
        <w:spacing w:before="9"/>
        <w:ind w:left="0"/>
        <w:jc w:val="both"/>
        <w:rPr>
          <w:sz w:val="21"/>
          <w:szCs w:val="21"/>
        </w:rPr>
      </w:pPr>
    </w:p>
    <w:p w14:paraId="33644A45" w14:textId="0EB9C310" w:rsidR="00F547E7" w:rsidRDefault="00F547E7" w:rsidP="00C80DD5">
      <w:pPr>
        <w:pStyle w:val="BodyText"/>
        <w:kinsoku w:val="0"/>
        <w:overflowPunct w:val="0"/>
        <w:spacing w:before="1"/>
        <w:ind w:right="262"/>
        <w:jc w:val="both"/>
        <w:rPr>
          <w:color w:val="000000"/>
        </w:rPr>
      </w:pPr>
      <w:r>
        <w:rPr>
          <w:b/>
          <w:bCs/>
        </w:rPr>
        <w:t>Age</w:t>
      </w:r>
      <w:r>
        <w:rPr>
          <w:color w:val="242424"/>
        </w:rPr>
        <w:t xml:space="preserve">: </w:t>
      </w:r>
      <w:r>
        <w:rPr>
          <w:color w:val="000000"/>
        </w:rPr>
        <w:t xml:space="preserve">A consumer's age </w:t>
      </w:r>
      <w:proofErr w:type="gramStart"/>
      <w:r>
        <w:rPr>
          <w:color w:val="000000"/>
        </w:rPr>
        <w:t>was calculated</w:t>
      </w:r>
      <w:proofErr w:type="gramEnd"/>
      <w:r>
        <w:rPr>
          <w:color w:val="000000"/>
        </w:rPr>
        <w:t xml:space="preserve"> as the difference between his/ her birthdate and </w:t>
      </w:r>
      <w:r w:rsidR="00532496">
        <w:rPr>
          <w:color w:val="000000"/>
        </w:rPr>
        <w:t>January 1, 201</w:t>
      </w:r>
      <w:r w:rsidR="00462E83">
        <w:rPr>
          <w:color w:val="000000"/>
        </w:rPr>
        <w:t>9</w:t>
      </w:r>
      <w:r>
        <w:rPr>
          <w:color w:val="000000"/>
        </w:rPr>
        <w:t xml:space="preserve">. A consumer </w:t>
      </w:r>
      <w:proofErr w:type="gramStart"/>
      <w:r>
        <w:rPr>
          <w:color w:val="000000"/>
        </w:rPr>
        <w:t>was then classified</w:t>
      </w:r>
      <w:proofErr w:type="gramEnd"/>
      <w:r>
        <w:rPr>
          <w:color w:val="000000"/>
        </w:rPr>
        <w:t xml:space="preserve"> into the various age groups.</w:t>
      </w:r>
    </w:p>
    <w:p w14:paraId="29820126" w14:textId="77777777" w:rsidR="00F547E7" w:rsidRDefault="00F547E7" w:rsidP="00C80DD5">
      <w:pPr>
        <w:pStyle w:val="BodyText"/>
        <w:kinsoku w:val="0"/>
        <w:overflowPunct w:val="0"/>
        <w:ind w:left="0"/>
        <w:jc w:val="both"/>
      </w:pPr>
    </w:p>
    <w:p w14:paraId="7B72DE9A" w14:textId="4A2AE6C5" w:rsidR="00F547E7" w:rsidRDefault="00F547E7" w:rsidP="00C80DD5">
      <w:pPr>
        <w:pStyle w:val="BodyText"/>
        <w:kinsoku w:val="0"/>
        <w:overflowPunct w:val="0"/>
        <w:jc w:val="both"/>
      </w:pPr>
      <w:r>
        <w:rPr>
          <w:b/>
          <w:bCs/>
        </w:rPr>
        <w:t xml:space="preserve">Gender: </w:t>
      </w:r>
      <w:r>
        <w:t xml:space="preserve">A consumer’s gender </w:t>
      </w:r>
      <w:proofErr w:type="gramStart"/>
      <w:r>
        <w:t>was measured</w:t>
      </w:r>
      <w:proofErr w:type="gramEnd"/>
      <w:r>
        <w:t xml:space="preserve"> by the consumer’s response on his/her application.</w:t>
      </w:r>
    </w:p>
    <w:p w14:paraId="00D2A4F2" w14:textId="77777777" w:rsidR="00F547E7" w:rsidRDefault="00F547E7" w:rsidP="00C80DD5">
      <w:pPr>
        <w:pStyle w:val="BodyText"/>
        <w:kinsoku w:val="0"/>
        <w:overflowPunct w:val="0"/>
        <w:spacing w:before="180" w:line="259" w:lineRule="auto"/>
        <w:ind w:right="983"/>
        <w:jc w:val="both"/>
      </w:pPr>
      <w:r>
        <w:rPr>
          <w:b/>
          <w:bCs/>
        </w:rPr>
        <w:t xml:space="preserve">Tobacco Use: </w:t>
      </w:r>
      <w:r>
        <w:t xml:space="preserve">A consumer’s tobacco use </w:t>
      </w:r>
      <w:proofErr w:type="gramStart"/>
      <w:r>
        <w:t>was measured</w:t>
      </w:r>
      <w:proofErr w:type="gramEnd"/>
      <w:r>
        <w:t xml:space="preserve"> by the consumer’s response on his/her application.</w:t>
      </w:r>
    </w:p>
    <w:sectPr w:rsidR="00F547E7">
      <w:pgSz w:w="12240" w:h="15840"/>
      <w:pgMar w:top="1400" w:right="1340" w:bottom="280" w:left="1340" w:header="720" w:footer="720"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0EE150" w16cid:durableId="230F1D24"/>
  <w16cid:commentId w16cid:paraId="615348E9" w16cid:durableId="230F1E2D"/>
  <w16cid:commentId w16cid:paraId="3206420B" w16cid:durableId="230F1E13"/>
  <w16cid:commentId w16cid:paraId="64CCB114" w16cid:durableId="230F1E0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320" w:hanging="221"/>
      </w:pPr>
      <w:rPr>
        <w:rFonts w:ascii="Calibri" w:hAnsi="Calibri" w:cs="Calibri"/>
        <w:b/>
        <w:bCs/>
        <w:color w:val="426DC4"/>
        <w:w w:val="100"/>
        <w:sz w:val="22"/>
        <w:szCs w:val="22"/>
      </w:rPr>
    </w:lvl>
    <w:lvl w:ilvl="1">
      <w:numFmt w:val="bullet"/>
      <w:lvlText w:val="•"/>
      <w:lvlJc w:val="left"/>
      <w:pPr>
        <w:ind w:left="1244" w:hanging="221"/>
      </w:pPr>
    </w:lvl>
    <w:lvl w:ilvl="2">
      <w:numFmt w:val="bullet"/>
      <w:lvlText w:val="•"/>
      <w:lvlJc w:val="left"/>
      <w:pPr>
        <w:ind w:left="2168" w:hanging="221"/>
      </w:pPr>
    </w:lvl>
    <w:lvl w:ilvl="3">
      <w:numFmt w:val="bullet"/>
      <w:lvlText w:val="•"/>
      <w:lvlJc w:val="left"/>
      <w:pPr>
        <w:ind w:left="3092" w:hanging="221"/>
      </w:pPr>
    </w:lvl>
    <w:lvl w:ilvl="4">
      <w:numFmt w:val="bullet"/>
      <w:lvlText w:val="•"/>
      <w:lvlJc w:val="left"/>
      <w:pPr>
        <w:ind w:left="4016" w:hanging="221"/>
      </w:pPr>
    </w:lvl>
    <w:lvl w:ilvl="5">
      <w:numFmt w:val="bullet"/>
      <w:lvlText w:val="•"/>
      <w:lvlJc w:val="left"/>
      <w:pPr>
        <w:ind w:left="4940" w:hanging="221"/>
      </w:pPr>
    </w:lvl>
    <w:lvl w:ilvl="6">
      <w:numFmt w:val="bullet"/>
      <w:lvlText w:val="•"/>
      <w:lvlJc w:val="left"/>
      <w:pPr>
        <w:ind w:left="5864" w:hanging="221"/>
      </w:pPr>
    </w:lvl>
    <w:lvl w:ilvl="7">
      <w:numFmt w:val="bullet"/>
      <w:lvlText w:val="•"/>
      <w:lvlJc w:val="left"/>
      <w:pPr>
        <w:ind w:left="6788" w:hanging="221"/>
      </w:pPr>
    </w:lvl>
    <w:lvl w:ilvl="8">
      <w:numFmt w:val="bullet"/>
      <w:lvlText w:val="•"/>
      <w:lvlJc w:val="left"/>
      <w:pPr>
        <w:ind w:left="7712" w:hanging="22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D78"/>
    <w:rsid w:val="00046A67"/>
    <w:rsid w:val="000510CA"/>
    <w:rsid w:val="00137697"/>
    <w:rsid w:val="002815EF"/>
    <w:rsid w:val="0028463F"/>
    <w:rsid w:val="002D1AA6"/>
    <w:rsid w:val="002D2F16"/>
    <w:rsid w:val="0040733F"/>
    <w:rsid w:val="00462E83"/>
    <w:rsid w:val="00532496"/>
    <w:rsid w:val="005C2B57"/>
    <w:rsid w:val="005F4C1B"/>
    <w:rsid w:val="00614EB3"/>
    <w:rsid w:val="00623A56"/>
    <w:rsid w:val="00635D22"/>
    <w:rsid w:val="006810D9"/>
    <w:rsid w:val="00746217"/>
    <w:rsid w:val="00776109"/>
    <w:rsid w:val="008039DD"/>
    <w:rsid w:val="008839ED"/>
    <w:rsid w:val="008C6EE3"/>
    <w:rsid w:val="008E748D"/>
    <w:rsid w:val="009720CB"/>
    <w:rsid w:val="00A76FDB"/>
    <w:rsid w:val="00B26292"/>
    <w:rsid w:val="00B36714"/>
    <w:rsid w:val="00BF286E"/>
    <w:rsid w:val="00C05C92"/>
    <w:rsid w:val="00C44821"/>
    <w:rsid w:val="00C80DD5"/>
    <w:rsid w:val="00D01A03"/>
    <w:rsid w:val="00D745AE"/>
    <w:rsid w:val="00DF279C"/>
    <w:rsid w:val="00E23E34"/>
    <w:rsid w:val="00E347D4"/>
    <w:rsid w:val="00E77CA9"/>
    <w:rsid w:val="00EB715D"/>
    <w:rsid w:val="00EC0D78"/>
    <w:rsid w:val="00EE1C4B"/>
    <w:rsid w:val="00F34ACD"/>
    <w:rsid w:val="00F37F8D"/>
    <w:rsid w:val="00F547E7"/>
    <w:rsid w:val="00F5694B"/>
    <w:rsid w:val="00F83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DD8B0A"/>
  <w14:defaultImageDpi w14:val="0"/>
  <w15:docId w15:val="{6497A918-AFCA-41F3-94E6-9BD92FEB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spacing w:line="267" w:lineRule="exact"/>
      <w:ind w:left="320" w:hanging="220"/>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ind w:left="100"/>
    </w:pPr>
    <w:rPr>
      <w:sz w:val="22"/>
      <w:szCs w:val="22"/>
    </w:rPr>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1"/>
    <w:qFormat/>
    <w:pPr>
      <w:spacing w:line="267" w:lineRule="exact"/>
      <w:ind w:left="320" w:hanging="220"/>
    </w:pPr>
  </w:style>
  <w:style w:type="paragraph" w:customStyle="1" w:styleId="TableParagraph">
    <w:name w:val="Table Paragraph"/>
    <w:basedOn w:val="Normal"/>
    <w:uiPriority w:val="1"/>
    <w:qFormat/>
    <w:rPr>
      <w:rFonts w:ascii="Times New Roman" w:hAnsi="Times New Roman" w:cs="Times New Roman"/>
    </w:rPr>
  </w:style>
  <w:style w:type="character" w:styleId="CommentReference">
    <w:name w:val="annotation reference"/>
    <w:basedOn w:val="DefaultParagraphFont"/>
    <w:uiPriority w:val="99"/>
    <w:semiHidden/>
    <w:unhideWhenUsed/>
    <w:rsid w:val="00EC0D78"/>
    <w:rPr>
      <w:rFonts w:cs="Times New Roman"/>
      <w:sz w:val="16"/>
      <w:szCs w:val="16"/>
    </w:rPr>
  </w:style>
  <w:style w:type="paragraph" w:styleId="CommentText">
    <w:name w:val="annotation text"/>
    <w:basedOn w:val="Normal"/>
    <w:link w:val="CommentTextChar"/>
    <w:uiPriority w:val="99"/>
    <w:semiHidden/>
    <w:unhideWhenUsed/>
    <w:rsid w:val="00EC0D78"/>
    <w:rPr>
      <w:sz w:val="20"/>
      <w:szCs w:val="20"/>
    </w:rPr>
  </w:style>
  <w:style w:type="character" w:customStyle="1" w:styleId="CommentTextChar">
    <w:name w:val="Comment Text Char"/>
    <w:basedOn w:val="DefaultParagraphFont"/>
    <w:link w:val="CommentText"/>
    <w:uiPriority w:val="99"/>
    <w:semiHidden/>
    <w:locked/>
    <w:rsid w:val="00EC0D7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C0D78"/>
    <w:rPr>
      <w:b/>
      <w:bCs/>
    </w:rPr>
  </w:style>
  <w:style w:type="character" w:customStyle="1" w:styleId="CommentSubjectChar">
    <w:name w:val="Comment Subject Char"/>
    <w:basedOn w:val="CommentTextChar"/>
    <w:link w:val="CommentSubject"/>
    <w:uiPriority w:val="99"/>
    <w:semiHidden/>
    <w:locked/>
    <w:rsid w:val="00EC0D78"/>
    <w:rPr>
      <w:rFonts w:ascii="Calibri" w:hAnsi="Calibri" w:cs="Calibri"/>
      <w:b/>
      <w:bCs/>
      <w:sz w:val="20"/>
      <w:szCs w:val="20"/>
    </w:rPr>
  </w:style>
  <w:style w:type="paragraph" w:styleId="BalloonText">
    <w:name w:val="Balloon Text"/>
    <w:basedOn w:val="Normal"/>
    <w:link w:val="BalloonTextChar"/>
    <w:uiPriority w:val="99"/>
    <w:semiHidden/>
    <w:unhideWhenUsed/>
    <w:rsid w:val="00EC0D78"/>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C0D78"/>
    <w:rPr>
      <w:rFonts w:ascii="Segoe UI" w:hAnsi="Segoe UI" w:cs="Segoe UI"/>
      <w:sz w:val="18"/>
      <w:szCs w:val="18"/>
    </w:rPr>
  </w:style>
  <w:style w:type="paragraph" w:styleId="Revision">
    <w:name w:val="Revision"/>
    <w:hidden/>
    <w:uiPriority w:val="99"/>
    <w:semiHidden/>
    <w:rsid w:val="008C6EE3"/>
    <w:pPr>
      <w:spacing w:after="0" w:line="240" w:lineRule="auto"/>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9A199-7EDC-4D76-92F6-7AC97F250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Apostle</dc:creator>
  <cp:keywords/>
  <dc:description/>
  <cp:lastModifiedBy>Melissa Jaffe</cp:lastModifiedBy>
  <cp:revision>3</cp:revision>
  <dcterms:created xsi:type="dcterms:W3CDTF">2020-11-17T16:53:00Z</dcterms:created>
  <dcterms:modified xsi:type="dcterms:W3CDTF">2020-11-18T02:22:00Z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y fmtid="{D5CDD505-2E9C-101B-9397-08002B2CF9AE}" pid="3" name="_NewReviewCycle">
    <vt:lpwstr/>
  </property>
</Properties>
</file>