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AB45A" w14:textId="77777777" w:rsidR="000D2B32" w:rsidRDefault="000D2B32">
      <w:pPr>
        <w:pStyle w:val="af"/>
      </w:pPr>
    </w:p>
    <w:p w14:paraId="1765C2B4" w14:textId="77777777" w:rsidR="000D2B32" w:rsidRDefault="000D2B32">
      <w:pPr>
        <w:pStyle w:val="af"/>
      </w:pPr>
    </w:p>
    <w:p w14:paraId="35EB3D59" w14:textId="77777777" w:rsidR="000D2B32" w:rsidRDefault="001E0544">
      <w:pPr>
        <w:pStyle w:val="a1"/>
      </w:pPr>
      <w:r>
        <w:rPr>
          <w:u w:val="single" w:color="000000"/>
        </w:rPr>
        <w:t>Tracking Form for Applicants for New Technology Add-on Payments under the Acute Inpatient Prospective Payment System (IPPS) for Federal Fiscal Year (FY) 2027</w:t>
      </w:r>
    </w:p>
    <w:p w14:paraId="1C9D3D86" w14:textId="77777777" w:rsidR="000D2B32" w:rsidRDefault="000D2B32">
      <w:pPr>
        <w:pStyle w:val="af"/>
      </w:pPr>
    </w:p>
    <w:p w14:paraId="574E0E60" w14:textId="3E90DD29" w:rsidR="000D2B32" w:rsidRDefault="001E0544">
      <w:pPr>
        <w:pStyle w:val="a1"/>
      </w:pPr>
      <w:r>
        <w:rPr>
          <w:u w:val="single" w:color="000000"/>
        </w:rPr>
        <w:t xml:space="preserve">Number of Requests: </w:t>
      </w:r>
      <w:r w:rsidR="009D2582">
        <w:rPr>
          <w:u w:val="single" w:color="000000"/>
        </w:rPr>
        <w:t>3</w:t>
      </w:r>
      <w:r w:rsidR="000F6E98">
        <w:rPr>
          <w:u w:val="single" w:color="000000"/>
        </w:rPr>
        <w:t>6</w:t>
      </w:r>
    </w:p>
    <w:p w14:paraId="688A6AC4" w14:textId="77777777" w:rsidR="000D2B32" w:rsidRDefault="000D2B32">
      <w:pPr>
        <w:pStyle w:val="af"/>
      </w:pPr>
    </w:p>
    <w:p w14:paraId="212EBEA4" w14:textId="77777777" w:rsidR="000D2B32" w:rsidRDefault="000D2B32">
      <w:pPr>
        <w:pStyle w:val="af"/>
      </w:pPr>
    </w:p>
    <w:p w14:paraId="19546077" w14:textId="77777777" w:rsidR="000D2B32" w:rsidRDefault="000D2B32">
      <w:pPr>
        <w:pStyle w:val="af"/>
      </w:pPr>
    </w:p>
    <w:p w14:paraId="55056243" w14:textId="77777777" w:rsidR="000D2B32" w:rsidRDefault="001E0544">
      <w:pPr>
        <w:pStyle w:val="af1"/>
      </w:pPr>
      <w:r>
        <w:t>Technology Name</w:t>
      </w:r>
    </w:p>
    <w:p w14:paraId="4A97848C" w14:textId="77777777" w:rsidR="000D2B32" w:rsidRDefault="001E0544">
      <w:pPr>
        <w:pStyle w:val="af0"/>
        <w:ind w:left="720"/>
      </w:pPr>
      <w:r>
        <w:rPr>
          <w:b/>
          <w:bCs/>
          <w:i/>
          <w:iCs/>
        </w:rPr>
        <w:t>Generic Name:</w:t>
      </w:r>
      <w:r>
        <w:t xml:space="preserve"> </w:t>
      </w:r>
      <w:proofErr w:type="spellStart"/>
      <w:r>
        <w:t>tabelecleucel</w:t>
      </w:r>
      <w:proofErr w:type="spellEnd"/>
      <w:r>
        <w:t xml:space="preserve"> (tab-cel)</w:t>
      </w:r>
    </w:p>
    <w:p w14:paraId="31C4D164" w14:textId="77777777" w:rsidR="000D2B32" w:rsidRDefault="001E0544">
      <w:pPr>
        <w:pStyle w:val="af0"/>
      </w:pPr>
      <w:r>
        <w:rPr>
          <w:b/>
          <w:bCs/>
        </w:rPr>
        <w:t>Applicant Name:</w:t>
      </w:r>
      <w:r>
        <w:t xml:space="preserve"> Pierre Fabre Pharmaceuticals, Inc.</w:t>
      </w:r>
    </w:p>
    <w:p w14:paraId="66A1BDB2" w14:textId="77777777" w:rsidR="000D2B32" w:rsidRDefault="001E0544">
      <w:pPr>
        <w:pStyle w:val="af0"/>
      </w:pPr>
      <w:r>
        <w:rPr>
          <w:b/>
          <w:bCs/>
        </w:rPr>
        <w:t>Application Pathway:</w:t>
      </w:r>
      <w:r>
        <w:t xml:space="preserve"> Traditional</w:t>
      </w:r>
    </w:p>
    <w:p w14:paraId="65F743BB" w14:textId="77777777" w:rsidR="000D2B32" w:rsidRDefault="001E0544">
      <w:pPr>
        <w:pStyle w:val="af1"/>
      </w:pPr>
      <w:r>
        <w:t xml:space="preserve">Brief Description of the Technology: </w:t>
      </w:r>
    </w:p>
    <w:p w14:paraId="59EE569E" w14:textId="77777777" w:rsidR="000D2B32" w:rsidRDefault="001E0544">
      <w:pPr>
        <w:pStyle w:val="af0"/>
      </w:pPr>
      <w:r>
        <w:t>Tab-cel is an allogeneic Epstein-Barr virus (EBV)-specific T-cell immunotherapy under investigation as monotherapy for treatment of adult and pediatric patients 2 years of age and older with EBV positive post-transplant lymphoproliferative disease (EBV+ PTLD) who have received at least one prior therapy including an anti-CD20 containing regimen.</w:t>
      </w:r>
    </w:p>
    <w:p w14:paraId="277DC4A4" w14:textId="77777777" w:rsidR="000D2B32" w:rsidRDefault="001E0544">
      <w:r>
        <w:br w:type="page"/>
      </w:r>
    </w:p>
    <w:p w14:paraId="1EED87DE" w14:textId="77777777" w:rsidR="000D2B32" w:rsidRDefault="000D2B32">
      <w:pPr>
        <w:pStyle w:val="af"/>
      </w:pPr>
    </w:p>
    <w:p w14:paraId="198223A5" w14:textId="77777777" w:rsidR="000D2B32" w:rsidRDefault="001E0544">
      <w:pPr>
        <w:pStyle w:val="af1"/>
      </w:pPr>
      <w:r>
        <w:t>Technology Name</w:t>
      </w:r>
    </w:p>
    <w:p w14:paraId="309E3C2C" w14:textId="77777777" w:rsidR="000D2B32" w:rsidRDefault="001E0544">
      <w:pPr>
        <w:pStyle w:val="af0"/>
        <w:ind w:left="720"/>
      </w:pPr>
      <w:r>
        <w:rPr>
          <w:b/>
          <w:bCs/>
          <w:i/>
          <w:iCs/>
        </w:rPr>
        <w:t>Trade Name:</w:t>
      </w:r>
      <w:r>
        <w:t xml:space="preserve"> GORE® VIABAHN® Venous Stent</w:t>
      </w:r>
    </w:p>
    <w:p w14:paraId="4177258C" w14:textId="77777777" w:rsidR="000D2B32" w:rsidRDefault="001E0544">
      <w:pPr>
        <w:pStyle w:val="af0"/>
      </w:pPr>
      <w:r>
        <w:rPr>
          <w:b/>
          <w:bCs/>
        </w:rPr>
        <w:t>Applicant Name:</w:t>
      </w:r>
      <w:r>
        <w:t xml:space="preserve"> W.L. Gore &amp; Associates, Inc.</w:t>
      </w:r>
    </w:p>
    <w:p w14:paraId="12E8433B" w14:textId="77777777" w:rsidR="000D2B32" w:rsidRDefault="001E0544">
      <w:pPr>
        <w:pStyle w:val="af0"/>
      </w:pPr>
      <w:r>
        <w:rPr>
          <w:b/>
          <w:bCs/>
        </w:rPr>
        <w:t>Application Pathway:</w:t>
      </w:r>
      <w:r>
        <w:t xml:space="preserve"> Alternative</w:t>
      </w:r>
    </w:p>
    <w:p w14:paraId="7367D9F7"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7221C706" w14:textId="77777777" w:rsidR="000D2B32" w:rsidRDefault="001E0544">
      <w:pPr>
        <w:pStyle w:val="af1"/>
      </w:pPr>
      <w:r>
        <w:t xml:space="preserve">Brief Description of the Technology: </w:t>
      </w:r>
    </w:p>
    <w:p w14:paraId="14DD1968" w14:textId="77777777" w:rsidR="000D2B32" w:rsidRDefault="001E0544">
      <w:pPr>
        <w:pStyle w:val="af0"/>
      </w:pPr>
      <w:r>
        <w:t>The GORE® VIABAHN® Venous Stent is an open-</w:t>
      </w:r>
      <w:proofErr w:type="gramStart"/>
      <w:r>
        <w:t>structure</w:t>
      </w:r>
      <w:proofErr w:type="gramEnd"/>
      <w:r>
        <w:t xml:space="preserve"> polymer lattice device providing intraluminal support in the Inferior Vena Cava (IVC) and, if clinically warranted, the Common Iliac Veins, at the </w:t>
      </w:r>
      <w:proofErr w:type="spellStart"/>
      <w:r>
        <w:t>iliocaval</w:t>
      </w:r>
      <w:proofErr w:type="spellEnd"/>
      <w:r>
        <w:t xml:space="preserve"> confluence in patients with symptomatic vessel obstruction.</w:t>
      </w:r>
    </w:p>
    <w:p w14:paraId="012477BD" w14:textId="77777777" w:rsidR="000D2B32" w:rsidRDefault="001E0544">
      <w:r>
        <w:br w:type="page"/>
      </w:r>
    </w:p>
    <w:p w14:paraId="6F122FAD" w14:textId="77777777" w:rsidR="000D2B32" w:rsidRDefault="000D2B32">
      <w:pPr>
        <w:pStyle w:val="af"/>
      </w:pPr>
    </w:p>
    <w:p w14:paraId="27BBEB86" w14:textId="77777777" w:rsidR="000D2B32" w:rsidRDefault="001E0544">
      <w:pPr>
        <w:pStyle w:val="af1"/>
      </w:pPr>
      <w:r>
        <w:t>Technology Name</w:t>
      </w:r>
    </w:p>
    <w:p w14:paraId="6F473371" w14:textId="77777777" w:rsidR="000D2B32" w:rsidRDefault="001E0544">
      <w:pPr>
        <w:pStyle w:val="af0"/>
        <w:ind w:left="720"/>
      </w:pPr>
      <w:r>
        <w:rPr>
          <w:b/>
          <w:bCs/>
          <w:i/>
          <w:iCs/>
        </w:rPr>
        <w:t>Generic Name:</w:t>
      </w:r>
      <w:r>
        <w:t xml:space="preserve"> Eminent Spine 3D Pedicle System</w:t>
      </w:r>
    </w:p>
    <w:p w14:paraId="198D65FF" w14:textId="77777777" w:rsidR="000D2B32" w:rsidRDefault="001E0544">
      <w:pPr>
        <w:pStyle w:val="af0"/>
        <w:ind w:left="720"/>
      </w:pPr>
      <w:r>
        <w:rPr>
          <w:b/>
          <w:bCs/>
          <w:i/>
          <w:iCs/>
        </w:rPr>
        <w:t>Trade Name:</w:t>
      </w:r>
      <w:r>
        <w:t xml:space="preserve"> Eminent Spine 3D Titanium Pedicle Screw System</w:t>
      </w:r>
    </w:p>
    <w:p w14:paraId="608EA97F" w14:textId="77777777" w:rsidR="000D2B32" w:rsidRDefault="001E0544">
      <w:pPr>
        <w:pStyle w:val="af0"/>
      </w:pPr>
      <w:r>
        <w:rPr>
          <w:b/>
          <w:bCs/>
        </w:rPr>
        <w:t>Applicant Name:</w:t>
      </w:r>
      <w:r>
        <w:t xml:space="preserve"> Dagen Hybner</w:t>
      </w:r>
    </w:p>
    <w:p w14:paraId="5C096060" w14:textId="77777777" w:rsidR="000D2B32" w:rsidRDefault="001E0544">
      <w:pPr>
        <w:pStyle w:val="af0"/>
      </w:pPr>
      <w:r>
        <w:rPr>
          <w:b/>
          <w:bCs/>
        </w:rPr>
        <w:t>Application Pathway:</w:t>
      </w:r>
      <w:r>
        <w:t xml:space="preserve"> Traditional</w:t>
      </w:r>
    </w:p>
    <w:p w14:paraId="6EC32AA6" w14:textId="77777777" w:rsidR="000D2B32" w:rsidRDefault="001E0544">
      <w:pPr>
        <w:pStyle w:val="af1"/>
      </w:pPr>
      <w:r>
        <w:t xml:space="preserve">Brief Description of the Technology: </w:t>
      </w:r>
    </w:p>
    <w:p w14:paraId="50481219" w14:textId="77777777" w:rsidR="000D2B32" w:rsidRDefault="001E0544">
      <w:pPr>
        <w:pStyle w:val="af0"/>
      </w:pPr>
      <w:r>
        <w:t>The Eminent Spine 3D Titanium Pedicle consists of a fully threaded, 3D printed porous pedicle screw assembly along with instruments used to place the implant under traditional guidance or navigation support. The implant has design features for stabilization of the lumbar, thoracic, and sacral spine segments.</w:t>
      </w:r>
    </w:p>
    <w:p w14:paraId="77EB2338" w14:textId="77777777" w:rsidR="000D2B32" w:rsidRDefault="001E0544">
      <w:r>
        <w:br w:type="page"/>
      </w:r>
    </w:p>
    <w:p w14:paraId="3744DB87" w14:textId="77777777" w:rsidR="000D2B32" w:rsidRDefault="000D2B32" w:rsidP="009D2582"/>
    <w:p w14:paraId="67A69831" w14:textId="77777777" w:rsidR="000D2B32" w:rsidRDefault="001E0544">
      <w:pPr>
        <w:pStyle w:val="af1"/>
      </w:pPr>
      <w:r>
        <w:t>Technology Name</w:t>
      </w:r>
    </w:p>
    <w:p w14:paraId="7D297AF2" w14:textId="77777777" w:rsidR="000D2B32" w:rsidRDefault="001E0544">
      <w:pPr>
        <w:pStyle w:val="af0"/>
        <w:ind w:left="720"/>
      </w:pPr>
      <w:r>
        <w:rPr>
          <w:b/>
          <w:bCs/>
          <w:i/>
          <w:iCs/>
        </w:rPr>
        <w:t>Generic Name:</w:t>
      </w:r>
      <w:r>
        <w:t xml:space="preserve"> Peripheral Stent</w:t>
      </w:r>
    </w:p>
    <w:p w14:paraId="3B5E8C60" w14:textId="77777777" w:rsidR="000D2B32" w:rsidRDefault="001E0544">
      <w:pPr>
        <w:pStyle w:val="af0"/>
        <w:ind w:left="720"/>
      </w:pPr>
      <w:r>
        <w:rPr>
          <w:b/>
          <w:bCs/>
          <w:i/>
          <w:iCs/>
        </w:rPr>
        <w:t>Trade Name:</w:t>
      </w:r>
      <w:r>
        <w:t xml:space="preserve"> Micro Medical Solutions </w:t>
      </w:r>
      <w:proofErr w:type="spellStart"/>
      <w:r>
        <w:t>MicroStent</w:t>
      </w:r>
      <w:proofErr w:type="spellEnd"/>
      <w:r>
        <w:t xml:space="preserve"> and the </w:t>
      </w:r>
      <w:proofErr w:type="spellStart"/>
      <w:r>
        <w:t>MicroStent</w:t>
      </w:r>
      <w:proofErr w:type="spellEnd"/>
      <w:r>
        <w:t xml:space="preserve"> XL Peripheral Vascular Stent System</w:t>
      </w:r>
    </w:p>
    <w:p w14:paraId="353C1F75" w14:textId="77777777" w:rsidR="000D2B32" w:rsidRDefault="001E0544">
      <w:pPr>
        <w:pStyle w:val="af0"/>
      </w:pPr>
      <w:r>
        <w:rPr>
          <w:b/>
          <w:bCs/>
        </w:rPr>
        <w:t>Applicant Name:</w:t>
      </w:r>
      <w:r>
        <w:t xml:space="preserve"> Micro Medical Solutions</w:t>
      </w:r>
    </w:p>
    <w:p w14:paraId="5E8FAA83" w14:textId="77777777" w:rsidR="000D2B32" w:rsidRDefault="001E0544">
      <w:pPr>
        <w:pStyle w:val="af0"/>
      </w:pPr>
      <w:r>
        <w:rPr>
          <w:b/>
          <w:bCs/>
        </w:rPr>
        <w:t>Application Pathway:</w:t>
      </w:r>
      <w:r>
        <w:t xml:space="preserve"> Alternative</w:t>
      </w:r>
    </w:p>
    <w:p w14:paraId="488D49B8"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6F51E16C" w14:textId="77777777" w:rsidR="000D2B32" w:rsidRDefault="001E0544">
      <w:pPr>
        <w:pStyle w:val="af1"/>
      </w:pPr>
      <w:r>
        <w:t xml:space="preserve">Brief Description of the Technology: </w:t>
      </w:r>
    </w:p>
    <w:p w14:paraId="3341D450" w14:textId="77777777" w:rsidR="000D2B32" w:rsidRDefault="001E0544">
      <w:pPr>
        <w:pStyle w:val="af0"/>
      </w:pPr>
      <w:r>
        <w:t xml:space="preserve">The </w:t>
      </w:r>
      <w:proofErr w:type="spellStart"/>
      <w:r>
        <w:t>MicroStent</w:t>
      </w:r>
      <w:proofErr w:type="spellEnd"/>
      <w:r>
        <w:t xml:space="preserve"> Peripheral Stent System is intended to improve luminal diameter in the treatment of ischemia in the lower leg.</w:t>
      </w:r>
    </w:p>
    <w:p w14:paraId="7F7AC013" w14:textId="77777777" w:rsidR="000D2B32" w:rsidRDefault="001E0544">
      <w:r>
        <w:br w:type="page"/>
      </w:r>
    </w:p>
    <w:p w14:paraId="23278FE4" w14:textId="16714727" w:rsidR="000D2B32" w:rsidRDefault="000D2B32">
      <w:pPr>
        <w:pStyle w:val="af"/>
      </w:pPr>
    </w:p>
    <w:p w14:paraId="3FC7E263" w14:textId="6E945EEF" w:rsidR="000D2B32" w:rsidRDefault="001E0544">
      <w:pPr>
        <w:pStyle w:val="af1"/>
      </w:pPr>
      <w:r>
        <w:t>Technology Name</w:t>
      </w:r>
    </w:p>
    <w:p w14:paraId="7244D185" w14:textId="3422EE0C" w:rsidR="000D2B32" w:rsidRDefault="001E0544">
      <w:pPr>
        <w:pStyle w:val="af0"/>
        <w:ind w:left="720"/>
      </w:pPr>
      <w:r>
        <w:rPr>
          <w:b/>
          <w:bCs/>
          <w:i/>
          <w:iCs/>
        </w:rPr>
        <w:t>Generic Name:</w:t>
      </w:r>
      <w:r>
        <w:t xml:space="preserve"> Command Center Electronic Glycemic Management System </w:t>
      </w:r>
      <w:proofErr w:type="spellStart"/>
      <w:r>
        <w:t>eGMS</w:t>
      </w:r>
      <w:proofErr w:type="spellEnd"/>
    </w:p>
    <w:p w14:paraId="5526C830" w14:textId="3408F3EF" w:rsidR="000D2B32" w:rsidRDefault="001E0544">
      <w:pPr>
        <w:pStyle w:val="af0"/>
        <w:ind w:left="720"/>
      </w:pPr>
      <w:r>
        <w:rPr>
          <w:b/>
          <w:bCs/>
          <w:i/>
          <w:iCs/>
        </w:rPr>
        <w:t>Trade Name:</w:t>
      </w:r>
      <w:r>
        <w:t xml:space="preserve"> Command Center</w:t>
      </w:r>
    </w:p>
    <w:p w14:paraId="4BDAB06E" w14:textId="3238DC77" w:rsidR="000D2B32" w:rsidRDefault="001E0544">
      <w:pPr>
        <w:pStyle w:val="af0"/>
      </w:pPr>
      <w:r>
        <w:rPr>
          <w:b/>
          <w:bCs/>
        </w:rPr>
        <w:t>Applicant Name:</w:t>
      </w:r>
      <w:r>
        <w:t xml:space="preserve"> </w:t>
      </w:r>
      <w:proofErr w:type="spellStart"/>
      <w:r>
        <w:t>Glytec</w:t>
      </w:r>
      <w:proofErr w:type="spellEnd"/>
      <w:r>
        <w:t>, LLC</w:t>
      </w:r>
    </w:p>
    <w:p w14:paraId="1FAF4162" w14:textId="5AC4FE7E" w:rsidR="000D2B32" w:rsidRDefault="001E0544">
      <w:pPr>
        <w:pStyle w:val="af0"/>
      </w:pPr>
      <w:r>
        <w:rPr>
          <w:b/>
          <w:bCs/>
        </w:rPr>
        <w:t>Application Pathway:</w:t>
      </w:r>
      <w:r>
        <w:t xml:space="preserve"> Traditional</w:t>
      </w:r>
    </w:p>
    <w:p w14:paraId="216C02C7" w14:textId="631D0481" w:rsidR="000D2B32" w:rsidRDefault="001E0544">
      <w:pPr>
        <w:pStyle w:val="af1"/>
      </w:pPr>
      <w:r>
        <w:t xml:space="preserve">Brief Description of the Technology: </w:t>
      </w:r>
    </w:p>
    <w:p w14:paraId="47B34C48" w14:textId="7A7096A2" w:rsidR="000D2B32" w:rsidRDefault="001E0544">
      <w:pPr>
        <w:pStyle w:val="af0"/>
      </w:pPr>
      <w:r>
        <w:t>The technology is indicated for use in adult/pediatric patients as a glycemic management tool intended to evaluate current and cumulative blood glucose values and coupled with multiple various inputs, to recommend a dosage of insulin. It is an EMR-integrated cloud based software device” that affects care delivery, and medication management.</w:t>
      </w:r>
    </w:p>
    <w:p w14:paraId="448244A4" w14:textId="4C4FAF06" w:rsidR="000D2B32" w:rsidRDefault="001E0544">
      <w:r>
        <w:br w:type="page"/>
      </w:r>
    </w:p>
    <w:p w14:paraId="5490234A" w14:textId="77777777" w:rsidR="000D2B32" w:rsidRDefault="000D2B32">
      <w:pPr>
        <w:pStyle w:val="af"/>
      </w:pPr>
    </w:p>
    <w:p w14:paraId="38A6B450" w14:textId="77777777" w:rsidR="000D2B32" w:rsidRDefault="001E0544">
      <w:pPr>
        <w:pStyle w:val="af1"/>
      </w:pPr>
      <w:r>
        <w:t>Technology Name</w:t>
      </w:r>
    </w:p>
    <w:p w14:paraId="6E602026" w14:textId="77777777" w:rsidR="000D2B32" w:rsidRDefault="001E0544">
      <w:pPr>
        <w:pStyle w:val="af0"/>
        <w:ind w:left="720"/>
      </w:pPr>
      <w:r>
        <w:rPr>
          <w:b/>
          <w:bCs/>
          <w:i/>
          <w:iCs/>
        </w:rPr>
        <w:t>Generic Name:</w:t>
      </w:r>
      <w:r>
        <w:t xml:space="preserve"> </w:t>
      </w:r>
      <w:proofErr w:type="spellStart"/>
      <w:r>
        <w:t>Etuvetidigene</w:t>
      </w:r>
      <w:proofErr w:type="spellEnd"/>
      <w:r>
        <w:t xml:space="preserve"> </w:t>
      </w:r>
      <w:proofErr w:type="spellStart"/>
      <w:r>
        <w:t>autotemcel</w:t>
      </w:r>
      <w:proofErr w:type="spellEnd"/>
    </w:p>
    <w:p w14:paraId="78BE4FC2" w14:textId="77777777" w:rsidR="000D2B32" w:rsidRDefault="001E0544">
      <w:pPr>
        <w:pStyle w:val="af0"/>
        <w:ind w:left="720"/>
      </w:pPr>
      <w:r>
        <w:rPr>
          <w:b/>
          <w:bCs/>
          <w:i/>
          <w:iCs/>
        </w:rPr>
        <w:t>Trade Name:</w:t>
      </w:r>
      <w:r>
        <w:t xml:space="preserve"> </w:t>
      </w:r>
      <w:proofErr w:type="spellStart"/>
      <w:r>
        <w:t>Waskyra</w:t>
      </w:r>
      <w:proofErr w:type="spellEnd"/>
    </w:p>
    <w:p w14:paraId="3806AC5B" w14:textId="77777777" w:rsidR="000D2B32" w:rsidRDefault="001E0544">
      <w:pPr>
        <w:pStyle w:val="af0"/>
      </w:pPr>
      <w:r>
        <w:rPr>
          <w:b/>
          <w:bCs/>
        </w:rPr>
        <w:t>Applicant Name:</w:t>
      </w:r>
      <w:r>
        <w:t xml:space="preserve"> Fondazione Telethon</w:t>
      </w:r>
    </w:p>
    <w:p w14:paraId="730EE1AB" w14:textId="77777777" w:rsidR="000D2B32" w:rsidRDefault="001E0544">
      <w:pPr>
        <w:pStyle w:val="af0"/>
      </w:pPr>
      <w:r>
        <w:rPr>
          <w:b/>
          <w:bCs/>
        </w:rPr>
        <w:t>Application Pathway:</w:t>
      </w:r>
      <w:r>
        <w:t xml:space="preserve"> Traditional</w:t>
      </w:r>
    </w:p>
    <w:p w14:paraId="1CF44952" w14:textId="77777777" w:rsidR="000D2B32" w:rsidRDefault="001E0544">
      <w:pPr>
        <w:pStyle w:val="af1"/>
      </w:pPr>
      <w:r>
        <w:t xml:space="preserve">Brief Description of the Technology: </w:t>
      </w:r>
    </w:p>
    <w:p w14:paraId="62AD8D5A" w14:textId="77777777" w:rsidR="000D2B32" w:rsidRDefault="001E0544">
      <w:pPr>
        <w:pStyle w:val="af0"/>
      </w:pPr>
      <w:proofErr w:type="spellStart"/>
      <w:r>
        <w:t>Etuvetidigene</w:t>
      </w:r>
      <w:proofErr w:type="spellEnd"/>
      <w:r>
        <w:t xml:space="preserve"> </w:t>
      </w:r>
      <w:proofErr w:type="spellStart"/>
      <w:r>
        <w:t>autotemcel</w:t>
      </w:r>
      <w:proofErr w:type="spellEnd"/>
      <w:r>
        <w:t xml:space="preserve"> is a gene therapy drug product consisting of a drug substance of an autologous cluster of differentiation (CD)34+ cell-enriched population that contains hematopoietic stem and progenitor cells transduced ex vivo using a lentiviral vector encoding the human </w:t>
      </w:r>
      <w:proofErr w:type="spellStart"/>
      <w:r>
        <w:t>Wiskott</w:t>
      </w:r>
      <w:proofErr w:type="spellEnd"/>
      <w:r>
        <w:t>-Aldrich syndrome (WAS) gene, for the treatment of WAS.</w:t>
      </w:r>
    </w:p>
    <w:p w14:paraId="3714A93C" w14:textId="77777777" w:rsidR="000D2B32" w:rsidRDefault="001E0544">
      <w:r>
        <w:br w:type="page"/>
      </w:r>
    </w:p>
    <w:p w14:paraId="2EAD4015" w14:textId="77777777" w:rsidR="000D2B32" w:rsidRDefault="000D2B32">
      <w:pPr>
        <w:pStyle w:val="af"/>
      </w:pPr>
    </w:p>
    <w:p w14:paraId="478044F0" w14:textId="77777777" w:rsidR="000D2B32" w:rsidRDefault="001E0544">
      <w:pPr>
        <w:pStyle w:val="af1"/>
      </w:pPr>
      <w:r>
        <w:t>Technology Name</w:t>
      </w:r>
    </w:p>
    <w:p w14:paraId="1EE186D4" w14:textId="77777777" w:rsidR="000D2B32" w:rsidRDefault="001E0544">
      <w:pPr>
        <w:pStyle w:val="af0"/>
        <w:ind w:left="720"/>
      </w:pPr>
      <w:r>
        <w:rPr>
          <w:b/>
          <w:bCs/>
          <w:i/>
          <w:iCs/>
        </w:rPr>
        <w:t>Generic Name:</w:t>
      </w:r>
      <w:r>
        <w:t xml:space="preserve"> interatrial shunt</w:t>
      </w:r>
    </w:p>
    <w:p w14:paraId="4CFE2C1C" w14:textId="77777777" w:rsidR="000D2B32" w:rsidRDefault="001E0544">
      <w:pPr>
        <w:pStyle w:val="af0"/>
        <w:ind w:left="720"/>
      </w:pPr>
      <w:r>
        <w:rPr>
          <w:b/>
          <w:bCs/>
          <w:i/>
          <w:iCs/>
        </w:rPr>
        <w:t>Trade Name:</w:t>
      </w:r>
      <w:r>
        <w:t xml:space="preserve"> Ventura </w:t>
      </w:r>
      <w:proofErr w:type="spellStart"/>
      <w:r>
        <w:t>lnteratrial</w:t>
      </w:r>
      <w:proofErr w:type="spellEnd"/>
      <w:r>
        <w:t xml:space="preserve"> Shunt System</w:t>
      </w:r>
    </w:p>
    <w:p w14:paraId="4DEF17BF" w14:textId="77777777" w:rsidR="000D2B32" w:rsidRDefault="001E0544">
      <w:pPr>
        <w:pStyle w:val="af0"/>
      </w:pPr>
      <w:r>
        <w:rPr>
          <w:b/>
          <w:bCs/>
        </w:rPr>
        <w:t>Applicant Name:</w:t>
      </w:r>
      <w:r>
        <w:t xml:space="preserve"> JNJ Medtech V-Wave, Inc</w:t>
      </w:r>
    </w:p>
    <w:p w14:paraId="686ED19A" w14:textId="77777777" w:rsidR="000D2B32" w:rsidRDefault="001E0544">
      <w:pPr>
        <w:pStyle w:val="af0"/>
      </w:pPr>
      <w:r>
        <w:rPr>
          <w:b/>
          <w:bCs/>
        </w:rPr>
        <w:t>Application Pathway:</w:t>
      </w:r>
      <w:r>
        <w:t xml:space="preserve"> Alternative</w:t>
      </w:r>
    </w:p>
    <w:p w14:paraId="7E6BEB44"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0D2D863E" w14:textId="77777777" w:rsidR="000D2B32" w:rsidRDefault="001E0544">
      <w:pPr>
        <w:pStyle w:val="af1"/>
      </w:pPr>
      <w:r>
        <w:t xml:space="preserve">Brief Description of the Technology: </w:t>
      </w:r>
    </w:p>
    <w:p w14:paraId="2683B9CA" w14:textId="77777777" w:rsidR="000D2B32" w:rsidRDefault="001E0544">
      <w:pPr>
        <w:pStyle w:val="af0"/>
      </w:pPr>
      <w:r>
        <w:t xml:space="preserve">The Ventura </w:t>
      </w:r>
      <w:proofErr w:type="spellStart"/>
      <w:r>
        <w:t>lnteratrial</w:t>
      </w:r>
      <w:proofErr w:type="spellEnd"/>
      <w:r>
        <w:t xml:space="preserve"> Shunt System includes the </w:t>
      </w:r>
      <w:proofErr w:type="spellStart"/>
      <w:r>
        <w:t>lnteratrial</w:t>
      </w:r>
      <w:proofErr w:type="spellEnd"/>
      <w:r>
        <w:t xml:space="preserve"> Shunt and delivery system.  It is indicated for NYHA Class III HF patients who remain symptomatic on guideline-directed medical therapy, have a LVEF of ≤40%, and are judged by a Heart Team to be appropriate for Shunt therapy, to reduce the risk of hospitalization for heart failure.</w:t>
      </w:r>
    </w:p>
    <w:p w14:paraId="267B35E1" w14:textId="77777777" w:rsidR="000D2B32" w:rsidRDefault="001E0544">
      <w:r>
        <w:br w:type="page"/>
      </w:r>
    </w:p>
    <w:p w14:paraId="5FCEB4C1" w14:textId="77777777" w:rsidR="000D2B32" w:rsidRDefault="000D2B32">
      <w:pPr>
        <w:pStyle w:val="af"/>
      </w:pPr>
    </w:p>
    <w:p w14:paraId="17F93CE9" w14:textId="77777777" w:rsidR="000D2B32" w:rsidRDefault="001E0544">
      <w:pPr>
        <w:pStyle w:val="af1"/>
      </w:pPr>
      <w:r>
        <w:t>Technology Name</w:t>
      </w:r>
    </w:p>
    <w:p w14:paraId="4FA28698" w14:textId="77777777" w:rsidR="000D2B32" w:rsidRDefault="001E0544">
      <w:pPr>
        <w:pStyle w:val="af0"/>
        <w:ind w:left="720"/>
      </w:pPr>
      <w:r>
        <w:rPr>
          <w:b/>
          <w:bCs/>
          <w:i/>
          <w:iCs/>
        </w:rPr>
        <w:t>Generic Name:</w:t>
      </w:r>
      <w:r>
        <w:t xml:space="preserve"> posterior </w:t>
      </w:r>
      <w:proofErr w:type="spellStart"/>
      <w:r>
        <w:t>cervico</w:t>
      </w:r>
      <w:proofErr w:type="spellEnd"/>
      <w:r>
        <w:t>-thoracic system</w:t>
      </w:r>
    </w:p>
    <w:p w14:paraId="291247CB" w14:textId="77777777" w:rsidR="000D2B32" w:rsidRDefault="001E0544">
      <w:pPr>
        <w:pStyle w:val="af0"/>
        <w:ind w:left="720"/>
      </w:pPr>
      <w:r>
        <w:rPr>
          <w:b/>
          <w:bCs/>
          <w:i/>
          <w:iCs/>
        </w:rPr>
        <w:t>Trade Name:</w:t>
      </w:r>
      <w:r>
        <w:t xml:space="preserve"> CMORE® CT System</w:t>
      </w:r>
    </w:p>
    <w:p w14:paraId="3D58F0AB" w14:textId="77777777" w:rsidR="000D2B32" w:rsidRDefault="001E0544">
      <w:pPr>
        <w:pStyle w:val="af0"/>
      </w:pPr>
      <w:r>
        <w:rPr>
          <w:b/>
          <w:bCs/>
        </w:rPr>
        <w:t>Applicant Name:</w:t>
      </w:r>
      <w:r>
        <w:t xml:space="preserve"> </w:t>
      </w:r>
      <w:proofErr w:type="spellStart"/>
      <w:r>
        <w:t>icotec</w:t>
      </w:r>
      <w:proofErr w:type="spellEnd"/>
      <w:r>
        <w:t xml:space="preserve"> ag, </w:t>
      </w:r>
      <w:proofErr w:type="spellStart"/>
      <w:r>
        <w:t>Industriestrasse</w:t>
      </w:r>
      <w:proofErr w:type="spellEnd"/>
      <w:r>
        <w:t xml:space="preserve"> 12, 9450 </w:t>
      </w:r>
      <w:proofErr w:type="spellStart"/>
      <w:r>
        <w:t>Altstaetten</w:t>
      </w:r>
      <w:proofErr w:type="spellEnd"/>
      <w:r>
        <w:t>, Switzerland</w:t>
      </w:r>
    </w:p>
    <w:p w14:paraId="18159342" w14:textId="77777777" w:rsidR="000D2B32" w:rsidRDefault="001E0544">
      <w:pPr>
        <w:pStyle w:val="af0"/>
      </w:pPr>
      <w:r>
        <w:rPr>
          <w:b/>
          <w:bCs/>
        </w:rPr>
        <w:t>Application Pathway:</w:t>
      </w:r>
      <w:r>
        <w:t xml:space="preserve"> Alternative</w:t>
      </w:r>
    </w:p>
    <w:p w14:paraId="0EBF1B3A"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4844827" w14:textId="77777777" w:rsidR="000D2B32" w:rsidRDefault="001E0544">
      <w:pPr>
        <w:pStyle w:val="af1"/>
      </w:pPr>
      <w:r>
        <w:t xml:space="preserve">Brief Description of the Technology: </w:t>
      </w:r>
    </w:p>
    <w:p w14:paraId="5DE21BA5" w14:textId="0379AE0A" w:rsidR="000D2B32" w:rsidRDefault="001E0544" w:rsidP="006D0E4E">
      <w:pPr>
        <w:pStyle w:val="af0"/>
      </w:pPr>
      <w:r>
        <w:t xml:space="preserve">The CMORE® CT System will be used to stabilize the posterior cervical (C1 - C7) and upper thoracic spine (T1 - T3). CMORE® implants are manufactured from high strength carbon fiber reinforced polyether-ether-ketone (branded as </w:t>
      </w:r>
      <w:proofErr w:type="spellStart"/>
      <w:r>
        <w:t>BlackArmor</w:t>
      </w:r>
      <w:proofErr w:type="spellEnd"/>
      <w:r>
        <w:t>®). The system features a variety of screw sizes and types, as well as rod shapes to accommodate patient anatomy.</w:t>
      </w:r>
    </w:p>
    <w:p w14:paraId="6DF61B64" w14:textId="77777777" w:rsidR="006D0E4E" w:rsidRDefault="006D0E4E" w:rsidP="006D0E4E">
      <w:pPr>
        <w:pStyle w:val="af0"/>
      </w:pPr>
    </w:p>
    <w:p w14:paraId="47D57E0D" w14:textId="77777777" w:rsidR="006D0E4E" w:rsidRDefault="006D0E4E" w:rsidP="006D0E4E">
      <w:pPr>
        <w:pStyle w:val="af0"/>
      </w:pPr>
    </w:p>
    <w:p w14:paraId="28BE0C7F" w14:textId="77777777" w:rsidR="006D0E4E" w:rsidRDefault="006D0E4E" w:rsidP="006D0E4E">
      <w:pPr>
        <w:pStyle w:val="af0"/>
      </w:pPr>
    </w:p>
    <w:p w14:paraId="6C020DE3" w14:textId="77777777" w:rsidR="006D0E4E" w:rsidRDefault="006D0E4E" w:rsidP="006D0E4E">
      <w:pPr>
        <w:pStyle w:val="af0"/>
      </w:pPr>
    </w:p>
    <w:p w14:paraId="752B72F0" w14:textId="77777777" w:rsidR="006D0E4E" w:rsidRDefault="006D0E4E" w:rsidP="006D0E4E">
      <w:pPr>
        <w:pStyle w:val="af0"/>
      </w:pPr>
    </w:p>
    <w:p w14:paraId="600FB412" w14:textId="77777777" w:rsidR="006D0E4E" w:rsidRDefault="006D0E4E" w:rsidP="006D0E4E">
      <w:pPr>
        <w:pStyle w:val="af0"/>
      </w:pPr>
    </w:p>
    <w:p w14:paraId="13257859" w14:textId="77777777" w:rsidR="006D0E4E" w:rsidRDefault="006D0E4E" w:rsidP="006D0E4E">
      <w:pPr>
        <w:pStyle w:val="af0"/>
      </w:pPr>
    </w:p>
    <w:p w14:paraId="0AE634C8" w14:textId="77777777" w:rsidR="006D0E4E" w:rsidRDefault="006D0E4E" w:rsidP="006D0E4E">
      <w:pPr>
        <w:pStyle w:val="af0"/>
      </w:pPr>
    </w:p>
    <w:p w14:paraId="1CBEEB3A" w14:textId="77777777" w:rsidR="006D0E4E" w:rsidRDefault="006D0E4E" w:rsidP="006D0E4E">
      <w:pPr>
        <w:pStyle w:val="af0"/>
      </w:pPr>
    </w:p>
    <w:p w14:paraId="7AB9F14B" w14:textId="77777777" w:rsidR="006D0E4E" w:rsidRDefault="006D0E4E" w:rsidP="006D0E4E">
      <w:pPr>
        <w:pStyle w:val="af0"/>
      </w:pPr>
    </w:p>
    <w:p w14:paraId="7CFC9A12" w14:textId="77777777" w:rsidR="006D0E4E" w:rsidRDefault="006D0E4E" w:rsidP="006D0E4E">
      <w:pPr>
        <w:pStyle w:val="af0"/>
      </w:pPr>
    </w:p>
    <w:p w14:paraId="4A9D7B5A" w14:textId="77777777" w:rsidR="006D0E4E" w:rsidRDefault="006D0E4E" w:rsidP="006D0E4E">
      <w:pPr>
        <w:pStyle w:val="af0"/>
      </w:pPr>
    </w:p>
    <w:p w14:paraId="7D834391" w14:textId="77777777" w:rsidR="006D0E4E" w:rsidRDefault="006D0E4E" w:rsidP="006D0E4E">
      <w:pPr>
        <w:pStyle w:val="af0"/>
      </w:pPr>
    </w:p>
    <w:p w14:paraId="0F92BAA0" w14:textId="77777777" w:rsidR="006D0E4E" w:rsidRDefault="006D0E4E" w:rsidP="006D0E4E">
      <w:pPr>
        <w:pStyle w:val="af0"/>
      </w:pPr>
    </w:p>
    <w:p w14:paraId="4028C066" w14:textId="77777777" w:rsidR="006D0E4E" w:rsidRDefault="006D0E4E" w:rsidP="006D0E4E">
      <w:pPr>
        <w:pStyle w:val="af0"/>
      </w:pPr>
    </w:p>
    <w:p w14:paraId="54C838AB" w14:textId="77777777" w:rsidR="006D0E4E" w:rsidRDefault="006D0E4E" w:rsidP="006D0E4E">
      <w:pPr>
        <w:pStyle w:val="af0"/>
      </w:pPr>
    </w:p>
    <w:p w14:paraId="592C1659" w14:textId="77777777" w:rsidR="006D0E4E" w:rsidRDefault="006D0E4E" w:rsidP="006D0E4E">
      <w:pPr>
        <w:pStyle w:val="af0"/>
      </w:pPr>
    </w:p>
    <w:p w14:paraId="52134E53" w14:textId="77777777" w:rsidR="006D0E4E" w:rsidRDefault="006D0E4E" w:rsidP="006D0E4E">
      <w:pPr>
        <w:pStyle w:val="af0"/>
      </w:pPr>
    </w:p>
    <w:p w14:paraId="1B607DA2" w14:textId="77777777" w:rsidR="006D0E4E" w:rsidRDefault="006D0E4E" w:rsidP="006D0E4E">
      <w:pPr>
        <w:pStyle w:val="af0"/>
      </w:pPr>
    </w:p>
    <w:p w14:paraId="74980933" w14:textId="77777777" w:rsidR="006D0E4E" w:rsidRDefault="006D0E4E" w:rsidP="006D0E4E">
      <w:pPr>
        <w:pStyle w:val="af0"/>
      </w:pPr>
    </w:p>
    <w:p w14:paraId="01720ECA" w14:textId="77777777" w:rsidR="006D0E4E" w:rsidRDefault="006D0E4E" w:rsidP="006D0E4E">
      <w:pPr>
        <w:pStyle w:val="af0"/>
      </w:pPr>
    </w:p>
    <w:p w14:paraId="24B071C2" w14:textId="77777777" w:rsidR="006D0E4E" w:rsidRDefault="006D0E4E" w:rsidP="006D0E4E">
      <w:pPr>
        <w:pStyle w:val="af0"/>
      </w:pPr>
    </w:p>
    <w:p w14:paraId="464B8120" w14:textId="77777777" w:rsidR="000D2B32" w:rsidRDefault="000D2B32">
      <w:pPr>
        <w:pStyle w:val="af"/>
      </w:pPr>
    </w:p>
    <w:p w14:paraId="122227BF" w14:textId="77777777" w:rsidR="006D0E4E" w:rsidRDefault="006D0E4E">
      <w:pPr>
        <w:pStyle w:val="af1"/>
      </w:pPr>
    </w:p>
    <w:p w14:paraId="59A58FF3" w14:textId="2008F16A" w:rsidR="000D2B32" w:rsidRDefault="001E0544">
      <w:pPr>
        <w:pStyle w:val="af1"/>
      </w:pPr>
      <w:r>
        <w:t>Technology Name</w:t>
      </w:r>
    </w:p>
    <w:p w14:paraId="3F9049A0" w14:textId="77777777" w:rsidR="000D2B32" w:rsidRDefault="001E0544">
      <w:pPr>
        <w:pStyle w:val="af0"/>
        <w:ind w:left="720"/>
      </w:pPr>
      <w:r>
        <w:rPr>
          <w:b/>
          <w:bCs/>
          <w:i/>
          <w:iCs/>
        </w:rPr>
        <w:t>Trade Name:</w:t>
      </w:r>
      <w:r>
        <w:t xml:space="preserve"> Trilogy Transcatheter Aortic Valve Regurgitation System</w:t>
      </w:r>
    </w:p>
    <w:p w14:paraId="1D654BA1" w14:textId="77777777" w:rsidR="000D2B32" w:rsidRDefault="001E0544">
      <w:pPr>
        <w:pStyle w:val="af0"/>
      </w:pPr>
      <w:r>
        <w:rPr>
          <w:b/>
          <w:bCs/>
        </w:rPr>
        <w:t>Applicant Name:</w:t>
      </w:r>
      <w:r>
        <w:t xml:space="preserve"> </w:t>
      </w:r>
      <w:proofErr w:type="spellStart"/>
      <w:r>
        <w:t>JenaValve</w:t>
      </w:r>
      <w:proofErr w:type="spellEnd"/>
    </w:p>
    <w:p w14:paraId="5213246C" w14:textId="77777777" w:rsidR="000D2B32" w:rsidRDefault="001E0544">
      <w:pPr>
        <w:pStyle w:val="af0"/>
      </w:pPr>
      <w:r>
        <w:rPr>
          <w:b/>
          <w:bCs/>
        </w:rPr>
        <w:t>Application Pathway:</w:t>
      </w:r>
      <w:r>
        <w:t xml:space="preserve"> Alternative</w:t>
      </w:r>
    </w:p>
    <w:p w14:paraId="43692145"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332E2C55" w14:textId="77777777" w:rsidR="000D2B32" w:rsidRDefault="001E0544">
      <w:pPr>
        <w:pStyle w:val="af1"/>
      </w:pPr>
      <w:r>
        <w:t xml:space="preserve">Brief Description of the Technology: </w:t>
      </w:r>
    </w:p>
    <w:p w14:paraId="0D6791AC" w14:textId="77777777" w:rsidR="000D2B32" w:rsidRDefault="001E0544">
      <w:pPr>
        <w:pStyle w:val="af0"/>
      </w:pPr>
      <w:r>
        <w:t xml:space="preserve">The </w:t>
      </w:r>
      <w:proofErr w:type="spellStart"/>
      <w:r>
        <w:t>JenaValve</w:t>
      </w:r>
      <w:proofErr w:type="spellEnd"/>
      <w:r>
        <w:t xml:space="preserve"> Trilogy Heart Valve System for transcatheter aortic valve implantation differs from other available systems in that it is deployed so that the THV expands radially at the native annulus and clips onto the native aortic leaflets to anchor the THV.  The THV is uniquely designed to anchor in the diseased regurgitant aortic valve.</w:t>
      </w:r>
    </w:p>
    <w:p w14:paraId="594C3053" w14:textId="77777777" w:rsidR="000D2B32" w:rsidRDefault="001E0544">
      <w:r>
        <w:br w:type="page"/>
      </w:r>
    </w:p>
    <w:p w14:paraId="6477683E" w14:textId="77777777" w:rsidR="000D2B32" w:rsidRDefault="000D2B32">
      <w:pPr>
        <w:pStyle w:val="af"/>
      </w:pPr>
    </w:p>
    <w:p w14:paraId="53E6EDB6" w14:textId="77777777" w:rsidR="000D2B32" w:rsidRDefault="001E0544">
      <w:pPr>
        <w:pStyle w:val="af1"/>
      </w:pPr>
      <w:r>
        <w:t>Technology Name</w:t>
      </w:r>
    </w:p>
    <w:p w14:paraId="5D3A3B21" w14:textId="77777777" w:rsidR="000D2B32" w:rsidRDefault="001E0544">
      <w:pPr>
        <w:pStyle w:val="af0"/>
        <w:ind w:left="720"/>
      </w:pPr>
      <w:r>
        <w:rPr>
          <w:b/>
          <w:bCs/>
          <w:i/>
          <w:iCs/>
        </w:rPr>
        <w:t>Generic Name:</w:t>
      </w:r>
      <w:r>
        <w:t xml:space="preserve"> Transcatheter mitral valve replacement</w:t>
      </w:r>
    </w:p>
    <w:p w14:paraId="1DFB3CED" w14:textId="77777777" w:rsidR="000D2B32" w:rsidRDefault="001E0544">
      <w:pPr>
        <w:pStyle w:val="af0"/>
        <w:ind w:left="720"/>
      </w:pPr>
      <w:r>
        <w:rPr>
          <w:b/>
          <w:bCs/>
          <w:i/>
          <w:iCs/>
        </w:rPr>
        <w:t>Trade Name:</w:t>
      </w:r>
      <w:r>
        <w:t xml:space="preserve"> SAPIEN M3 Transcatheter Mitral Valve Replacement System</w:t>
      </w:r>
    </w:p>
    <w:p w14:paraId="4A5D2511" w14:textId="77777777" w:rsidR="000D2B32" w:rsidRDefault="001E0544">
      <w:pPr>
        <w:pStyle w:val="af0"/>
      </w:pPr>
      <w:r>
        <w:rPr>
          <w:b/>
          <w:bCs/>
        </w:rPr>
        <w:t>Applicant Name:</w:t>
      </w:r>
      <w:r>
        <w:t xml:space="preserve"> Edwards </w:t>
      </w:r>
      <w:proofErr w:type="spellStart"/>
      <w:r>
        <w:t>LifeSciences</w:t>
      </w:r>
      <w:proofErr w:type="spellEnd"/>
      <w:r>
        <w:t xml:space="preserve"> LLC</w:t>
      </w:r>
    </w:p>
    <w:p w14:paraId="7263D643" w14:textId="77777777" w:rsidR="000D2B32" w:rsidRDefault="001E0544">
      <w:pPr>
        <w:pStyle w:val="af0"/>
      </w:pPr>
      <w:r>
        <w:rPr>
          <w:b/>
          <w:bCs/>
        </w:rPr>
        <w:t>Application Pathway:</w:t>
      </w:r>
      <w:r>
        <w:t xml:space="preserve"> Alternative</w:t>
      </w:r>
    </w:p>
    <w:p w14:paraId="7B1FC76A"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0D32301C" w14:textId="77777777" w:rsidR="000D2B32" w:rsidRDefault="001E0544">
      <w:pPr>
        <w:pStyle w:val="af1"/>
      </w:pPr>
      <w:r>
        <w:t xml:space="preserve">Brief Description of the Technology: </w:t>
      </w:r>
    </w:p>
    <w:p w14:paraId="596C6CB9" w14:textId="77777777" w:rsidR="000D2B32" w:rsidRDefault="001E0544">
      <w:pPr>
        <w:pStyle w:val="af0"/>
      </w:pPr>
      <w:r>
        <w:t>The SAPIEN M3 Transcatheter Mitral Valve Replacement System is a transcatheter mitral valve replacement (TMVR) system which is designed to allow for replacement of the native mitral valve in patients with symptomatic mitral valve regurgitation or symptomatic mitral stenosis.</w:t>
      </w:r>
    </w:p>
    <w:p w14:paraId="2F93EB25" w14:textId="77777777" w:rsidR="000D2B32" w:rsidRDefault="001E0544">
      <w:r>
        <w:br w:type="page"/>
      </w:r>
    </w:p>
    <w:p w14:paraId="58B0C088" w14:textId="77777777" w:rsidR="000D2B32" w:rsidRDefault="000D2B32">
      <w:pPr>
        <w:pStyle w:val="af"/>
      </w:pPr>
    </w:p>
    <w:p w14:paraId="0FD7164C" w14:textId="77777777" w:rsidR="000D2B32" w:rsidRDefault="001E0544">
      <w:pPr>
        <w:pStyle w:val="af1"/>
      </w:pPr>
      <w:r>
        <w:t>Technology Name</w:t>
      </w:r>
    </w:p>
    <w:p w14:paraId="497F22DF" w14:textId="77777777" w:rsidR="000D2B32" w:rsidRDefault="001E0544">
      <w:pPr>
        <w:pStyle w:val="af0"/>
        <w:ind w:left="720"/>
      </w:pPr>
      <w:r>
        <w:rPr>
          <w:b/>
          <w:bCs/>
          <w:i/>
          <w:iCs/>
        </w:rPr>
        <w:t>Generic Name:</w:t>
      </w:r>
      <w:r>
        <w:t xml:space="preserve"> </w:t>
      </w:r>
      <w:proofErr w:type="spellStart"/>
      <w:r>
        <w:t>Landiolol</w:t>
      </w:r>
      <w:proofErr w:type="spellEnd"/>
    </w:p>
    <w:p w14:paraId="2D69A6DF" w14:textId="77777777" w:rsidR="000D2B32" w:rsidRDefault="001E0544">
      <w:pPr>
        <w:pStyle w:val="af0"/>
        <w:ind w:left="720"/>
      </w:pPr>
      <w:r>
        <w:rPr>
          <w:b/>
          <w:bCs/>
          <w:i/>
          <w:iCs/>
        </w:rPr>
        <w:t>Trade Name:</w:t>
      </w:r>
      <w:r>
        <w:t xml:space="preserve"> RAPIBLYK</w:t>
      </w:r>
    </w:p>
    <w:p w14:paraId="49337507" w14:textId="77777777" w:rsidR="000D2B32" w:rsidRDefault="001E0544">
      <w:pPr>
        <w:pStyle w:val="af0"/>
      </w:pPr>
      <w:r>
        <w:rPr>
          <w:b/>
          <w:bCs/>
        </w:rPr>
        <w:t>Applicant Name:</w:t>
      </w:r>
      <w:r>
        <w:t xml:space="preserve"> AOP Health US LLC</w:t>
      </w:r>
    </w:p>
    <w:p w14:paraId="561D7A56" w14:textId="77777777" w:rsidR="000D2B32" w:rsidRDefault="001E0544">
      <w:pPr>
        <w:pStyle w:val="af0"/>
      </w:pPr>
      <w:r>
        <w:rPr>
          <w:b/>
          <w:bCs/>
        </w:rPr>
        <w:t>Application Pathway:</w:t>
      </w:r>
      <w:r>
        <w:t xml:space="preserve"> Traditional</w:t>
      </w:r>
    </w:p>
    <w:p w14:paraId="43EB2B8E" w14:textId="77777777" w:rsidR="000D2B32" w:rsidRDefault="001E0544">
      <w:pPr>
        <w:pStyle w:val="af1"/>
      </w:pPr>
      <w:r>
        <w:t xml:space="preserve">Brief Description of the Technology: </w:t>
      </w:r>
    </w:p>
    <w:p w14:paraId="2FF2B929" w14:textId="77777777" w:rsidR="000D2B32" w:rsidRDefault="001E0544">
      <w:pPr>
        <w:pStyle w:val="af0"/>
      </w:pPr>
      <w:r>
        <w:t>RAPIBLYK (</w:t>
      </w:r>
      <w:proofErr w:type="spellStart"/>
      <w:r>
        <w:t>landiolol</w:t>
      </w:r>
      <w:proofErr w:type="spellEnd"/>
      <w:r>
        <w:t>) is an intravenous beta-adrenergic blocker for the short-term reduction of ventricular rate in adults with supraventricular tachycardia including atrial fibrillation and atrial flutter.  Its uniquely rapid action and high selectivity for β1 cardio-receptors lowers heart rate with reduced side effects in critically ill patients.</w:t>
      </w:r>
    </w:p>
    <w:p w14:paraId="0DB613D1" w14:textId="77777777" w:rsidR="000D2B32" w:rsidRDefault="001E0544">
      <w:r>
        <w:br w:type="page"/>
      </w:r>
    </w:p>
    <w:p w14:paraId="1D22FC10" w14:textId="77777777" w:rsidR="000D2B32" w:rsidRDefault="000D2B32">
      <w:pPr>
        <w:pStyle w:val="af"/>
      </w:pPr>
    </w:p>
    <w:p w14:paraId="622CC20F" w14:textId="77777777" w:rsidR="000D2B32" w:rsidRDefault="001E0544">
      <w:pPr>
        <w:pStyle w:val="af1"/>
      </w:pPr>
      <w:r>
        <w:t>Technology Name</w:t>
      </w:r>
    </w:p>
    <w:p w14:paraId="6A1DA7E4" w14:textId="77777777" w:rsidR="000D2B32" w:rsidRDefault="001E0544">
      <w:pPr>
        <w:pStyle w:val="af0"/>
        <w:ind w:left="720"/>
      </w:pPr>
      <w:r>
        <w:rPr>
          <w:b/>
          <w:bCs/>
          <w:i/>
          <w:iCs/>
        </w:rPr>
        <w:t>Generic Name:</w:t>
      </w:r>
      <w:r>
        <w:t xml:space="preserve"> InVision Precision Cardiac Amyloid</w:t>
      </w:r>
    </w:p>
    <w:p w14:paraId="0EBECBFE" w14:textId="77777777" w:rsidR="000D2B32" w:rsidRDefault="001E0544">
      <w:pPr>
        <w:pStyle w:val="af0"/>
        <w:ind w:left="720"/>
      </w:pPr>
      <w:r>
        <w:rPr>
          <w:b/>
          <w:bCs/>
          <w:i/>
          <w:iCs/>
        </w:rPr>
        <w:t>Trade Name:</w:t>
      </w:r>
      <w:r>
        <w:t xml:space="preserve"> InVision Precision Cardiac Amyloid</w:t>
      </w:r>
    </w:p>
    <w:p w14:paraId="48A493E8" w14:textId="77777777" w:rsidR="000D2B32" w:rsidRDefault="001E0544">
      <w:pPr>
        <w:pStyle w:val="af0"/>
      </w:pPr>
      <w:r>
        <w:rPr>
          <w:b/>
          <w:bCs/>
        </w:rPr>
        <w:t>Applicant Name:</w:t>
      </w:r>
      <w:r>
        <w:t xml:space="preserve"> Invision Medical Technology</w:t>
      </w:r>
    </w:p>
    <w:p w14:paraId="6CCB13CE" w14:textId="77777777" w:rsidR="000D2B32" w:rsidRDefault="001E0544">
      <w:pPr>
        <w:pStyle w:val="af0"/>
      </w:pPr>
      <w:r>
        <w:rPr>
          <w:b/>
          <w:bCs/>
        </w:rPr>
        <w:t>Application Pathway:</w:t>
      </w:r>
      <w:r>
        <w:t xml:space="preserve"> Alternative</w:t>
      </w:r>
    </w:p>
    <w:p w14:paraId="45C3AE96"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7F0D87EE" w14:textId="77777777" w:rsidR="000D2B32" w:rsidRDefault="001E0544">
      <w:pPr>
        <w:pStyle w:val="af1"/>
      </w:pPr>
      <w:r>
        <w:t xml:space="preserve">Brief Description of the Technology: </w:t>
      </w:r>
    </w:p>
    <w:p w14:paraId="4524B4B0" w14:textId="77777777" w:rsidR="000D2B32" w:rsidRDefault="001E0544">
      <w:pPr>
        <w:pStyle w:val="af0"/>
      </w:pPr>
      <w:r>
        <w:t>The InVision Precision Cardiac Amyloid (InVision PCA) is a Software as a Medical Device (SaMD) machine-learning disease detection algorithm to identify high suspicion of cardiac amyloidosis from routinely obtained echocardiogram videos. The device assists clinicians in the diagnosis of cardiac amyloidosis.</w:t>
      </w:r>
    </w:p>
    <w:p w14:paraId="2C34AE43" w14:textId="77777777" w:rsidR="000D2B32" w:rsidRDefault="001E0544">
      <w:r>
        <w:br w:type="page"/>
      </w:r>
    </w:p>
    <w:p w14:paraId="38B4F9FD" w14:textId="77777777" w:rsidR="000D2B32" w:rsidRDefault="000D2B32">
      <w:pPr>
        <w:pStyle w:val="af"/>
      </w:pPr>
    </w:p>
    <w:p w14:paraId="11E727F8" w14:textId="77777777" w:rsidR="000D2B32" w:rsidRDefault="001E0544">
      <w:pPr>
        <w:pStyle w:val="af1"/>
      </w:pPr>
      <w:r>
        <w:t>Technology Name</w:t>
      </w:r>
    </w:p>
    <w:p w14:paraId="6BF50C63" w14:textId="77777777" w:rsidR="000D2B32" w:rsidRDefault="001E0544">
      <w:pPr>
        <w:pStyle w:val="af0"/>
        <w:ind w:left="720"/>
      </w:pPr>
      <w:r>
        <w:rPr>
          <w:b/>
          <w:bCs/>
          <w:i/>
          <w:iCs/>
        </w:rPr>
        <w:t>Generic Name:</w:t>
      </w:r>
      <w:r>
        <w:t xml:space="preserve"> Branched Aortic Arch Stent Graft</w:t>
      </w:r>
    </w:p>
    <w:p w14:paraId="32E9341E" w14:textId="77777777" w:rsidR="000D2B32" w:rsidRDefault="001E0544">
      <w:pPr>
        <w:pStyle w:val="af0"/>
        <w:ind w:left="720"/>
      </w:pPr>
      <w:r>
        <w:rPr>
          <w:b/>
          <w:bCs/>
          <w:i/>
          <w:iCs/>
        </w:rPr>
        <w:t>Trade Name:</w:t>
      </w:r>
      <w:r>
        <w:t xml:space="preserve"> NEXUS® Aortic Arch Stent Graft System</w:t>
      </w:r>
    </w:p>
    <w:p w14:paraId="37812A02" w14:textId="77777777" w:rsidR="000D2B32" w:rsidRDefault="001E0544">
      <w:pPr>
        <w:pStyle w:val="af0"/>
      </w:pPr>
      <w:r>
        <w:rPr>
          <w:b/>
          <w:bCs/>
        </w:rPr>
        <w:t>Applicant Name:</w:t>
      </w:r>
      <w:r>
        <w:t xml:space="preserve"> ENDOSPAN</w:t>
      </w:r>
    </w:p>
    <w:p w14:paraId="713550A9" w14:textId="77777777" w:rsidR="000D2B32" w:rsidRDefault="001E0544">
      <w:pPr>
        <w:pStyle w:val="af0"/>
      </w:pPr>
      <w:r>
        <w:rPr>
          <w:b/>
          <w:bCs/>
        </w:rPr>
        <w:t>Application Pathway:</w:t>
      </w:r>
      <w:r>
        <w:t xml:space="preserve"> Alternative</w:t>
      </w:r>
    </w:p>
    <w:p w14:paraId="25645D9B"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1667C0AD" w14:textId="77777777" w:rsidR="000D2B32" w:rsidRDefault="001E0544">
      <w:pPr>
        <w:pStyle w:val="af1"/>
      </w:pPr>
      <w:r>
        <w:t xml:space="preserve">Brief Description of the Technology: </w:t>
      </w:r>
    </w:p>
    <w:p w14:paraId="25577D9F" w14:textId="77777777" w:rsidR="000D2B32" w:rsidRDefault="001E0544">
      <w:pPr>
        <w:pStyle w:val="af0"/>
      </w:pPr>
      <w:r>
        <w:t>The NEXUS Aortic Arch Stent Graft System is a branched endovascular stent graft system designed specifically for repair of aortic arch pathologies (aneurysms, chronic dissections, penetrating ulcers, intramural hematoma) involving Zone 0 (ascending aorta) and the arch.</w:t>
      </w:r>
    </w:p>
    <w:p w14:paraId="287B0F42" w14:textId="77777777" w:rsidR="000D2B32" w:rsidRDefault="001E0544">
      <w:r>
        <w:br w:type="page"/>
      </w:r>
    </w:p>
    <w:p w14:paraId="1405304B" w14:textId="77777777" w:rsidR="000D2B32" w:rsidRDefault="000D2B32">
      <w:pPr>
        <w:pStyle w:val="af"/>
      </w:pPr>
    </w:p>
    <w:p w14:paraId="261A7481" w14:textId="77777777" w:rsidR="000D2B32" w:rsidRDefault="001E0544">
      <w:pPr>
        <w:pStyle w:val="af1"/>
      </w:pPr>
      <w:r>
        <w:t>Technology Name</w:t>
      </w:r>
    </w:p>
    <w:p w14:paraId="5FF448BC" w14:textId="77777777" w:rsidR="000D2B32" w:rsidRDefault="001E0544">
      <w:pPr>
        <w:pStyle w:val="af0"/>
        <w:ind w:left="720"/>
      </w:pPr>
      <w:r>
        <w:rPr>
          <w:b/>
          <w:bCs/>
          <w:i/>
          <w:iCs/>
        </w:rPr>
        <w:t>Trade Name:</w:t>
      </w:r>
      <w:r>
        <w:t xml:space="preserve"> </w:t>
      </w:r>
      <w:proofErr w:type="spellStart"/>
      <w:r>
        <w:t>PrismaLung</w:t>
      </w:r>
      <w:proofErr w:type="spellEnd"/>
    </w:p>
    <w:p w14:paraId="39974643" w14:textId="77777777" w:rsidR="000D2B32" w:rsidRDefault="001E0544">
      <w:pPr>
        <w:pStyle w:val="af0"/>
      </w:pPr>
      <w:r>
        <w:rPr>
          <w:b/>
          <w:bCs/>
        </w:rPr>
        <w:t>Applicant Name:</w:t>
      </w:r>
      <w:r>
        <w:t xml:space="preserve"> </w:t>
      </w:r>
      <w:proofErr w:type="spellStart"/>
      <w:r>
        <w:t>Vantive</w:t>
      </w:r>
      <w:proofErr w:type="spellEnd"/>
      <w:r>
        <w:t xml:space="preserve"> Health, LLC</w:t>
      </w:r>
    </w:p>
    <w:p w14:paraId="7B6F5CBE" w14:textId="77777777" w:rsidR="000D2B32" w:rsidRDefault="001E0544">
      <w:pPr>
        <w:pStyle w:val="af0"/>
      </w:pPr>
      <w:r>
        <w:rPr>
          <w:b/>
          <w:bCs/>
        </w:rPr>
        <w:t>Application Pathway:</w:t>
      </w:r>
      <w:r>
        <w:t xml:space="preserve"> Traditional</w:t>
      </w:r>
    </w:p>
    <w:p w14:paraId="7A45CE25" w14:textId="77777777" w:rsidR="000D2B32" w:rsidRDefault="001E0544">
      <w:pPr>
        <w:pStyle w:val="af1"/>
      </w:pPr>
      <w:r>
        <w:t xml:space="preserve">Brief Description of the Technology: </w:t>
      </w:r>
    </w:p>
    <w:p w14:paraId="63025BA6" w14:textId="77777777" w:rsidR="000D2B32" w:rsidRDefault="001E0544">
      <w:pPr>
        <w:pStyle w:val="af0"/>
      </w:pPr>
      <w:proofErr w:type="spellStart"/>
      <w:r>
        <w:t>PrismaLung</w:t>
      </w:r>
      <w:proofErr w:type="spellEnd"/>
      <w:r>
        <w:t>+ (PL+) is a single-use, extracorporeal carbon dioxide removal (ECCO₂R) medical device. It is designed to partially remove carbon dioxide (CO₂) from a patient’s blood in a circuit outside the body.</w:t>
      </w:r>
    </w:p>
    <w:p w14:paraId="6C82D308" w14:textId="77777777" w:rsidR="000D2B32" w:rsidRDefault="001E0544">
      <w:r>
        <w:br w:type="page"/>
      </w:r>
    </w:p>
    <w:p w14:paraId="71E6D10A" w14:textId="77777777" w:rsidR="000D2B32" w:rsidRDefault="000D2B32">
      <w:pPr>
        <w:pStyle w:val="af"/>
      </w:pPr>
    </w:p>
    <w:p w14:paraId="3EEE65A4" w14:textId="77777777" w:rsidR="000D2B32" w:rsidRDefault="001E0544">
      <w:pPr>
        <w:pStyle w:val="af1"/>
      </w:pPr>
      <w:r>
        <w:t>Technology Name</w:t>
      </w:r>
    </w:p>
    <w:p w14:paraId="5ABE2BE7" w14:textId="77777777" w:rsidR="000D2B32" w:rsidRDefault="001E0544">
      <w:pPr>
        <w:pStyle w:val="af0"/>
        <w:ind w:left="720"/>
      </w:pPr>
      <w:r>
        <w:rPr>
          <w:b/>
          <w:bCs/>
          <w:i/>
          <w:iCs/>
        </w:rPr>
        <w:t>Generic Name:</w:t>
      </w:r>
      <w:r>
        <w:t xml:space="preserve"> </w:t>
      </w:r>
      <w:proofErr w:type="spellStart"/>
      <w:r>
        <w:t>Prademagene</w:t>
      </w:r>
      <w:proofErr w:type="spellEnd"/>
      <w:r>
        <w:t xml:space="preserve"> </w:t>
      </w:r>
      <w:proofErr w:type="spellStart"/>
      <w:r>
        <w:t>zamikeracel</w:t>
      </w:r>
      <w:proofErr w:type="spellEnd"/>
    </w:p>
    <w:p w14:paraId="4CA72944" w14:textId="77777777" w:rsidR="000D2B32" w:rsidRDefault="001E0544">
      <w:pPr>
        <w:pStyle w:val="af0"/>
        <w:ind w:left="720"/>
      </w:pPr>
      <w:r>
        <w:rPr>
          <w:b/>
          <w:bCs/>
          <w:i/>
          <w:iCs/>
        </w:rPr>
        <w:t>Trade Name:</w:t>
      </w:r>
      <w:r>
        <w:t xml:space="preserve"> ZEVASKYN™</w:t>
      </w:r>
    </w:p>
    <w:p w14:paraId="43E6E234" w14:textId="77777777" w:rsidR="000D2B32" w:rsidRDefault="001E0544">
      <w:pPr>
        <w:pStyle w:val="af0"/>
      </w:pPr>
      <w:r>
        <w:rPr>
          <w:b/>
          <w:bCs/>
        </w:rPr>
        <w:t>Applicant Name:</w:t>
      </w:r>
      <w:r>
        <w:t xml:space="preserve"> Abeona Therapeutics, Inc.</w:t>
      </w:r>
    </w:p>
    <w:p w14:paraId="0B80D031" w14:textId="77777777" w:rsidR="000D2B32" w:rsidRDefault="001E0544">
      <w:pPr>
        <w:pStyle w:val="af0"/>
      </w:pPr>
      <w:r>
        <w:rPr>
          <w:b/>
          <w:bCs/>
        </w:rPr>
        <w:t>Application Pathway:</w:t>
      </w:r>
      <w:r>
        <w:t xml:space="preserve"> Traditional</w:t>
      </w:r>
    </w:p>
    <w:p w14:paraId="67BF9F78" w14:textId="77777777" w:rsidR="000D2B32" w:rsidRDefault="001E0544">
      <w:pPr>
        <w:pStyle w:val="af1"/>
      </w:pPr>
      <w:r>
        <w:t xml:space="preserve">Brief Description of the Technology: </w:t>
      </w:r>
    </w:p>
    <w:p w14:paraId="3D55BD39" w14:textId="77777777" w:rsidR="000D2B32" w:rsidRDefault="001E0544">
      <w:pPr>
        <w:pStyle w:val="af0"/>
      </w:pPr>
      <w:r>
        <w:t>ZEVASKYN™ is an autologous cell sheet-based gene therapy for adult and pediatric patients with recessive dystrophic epidermolysis bullosa (RDEB). The full-length COL7A1 gene is transduced ex vivo into keratinocytes from patient biopsies, expanded into collagen VII–producing sheets to correct the underlying defect.</w:t>
      </w:r>
    </w:p>
    <w:p w14:paraId="1D490C80" w14:textId="77777777" w:rsidR="000D2B32" w:rsidRDefault="001E0544">
      <w:r>
        <w:br w:type="page"/>
      </w:r>
    </w:p>
    <w:p w14:paraId="16714758" w14:textId="77777777" w:rsidR="000D2B32" w:rsidRDefault="000D2B32">
      <w:pPr>
        <w:pStyle w:val="af"/>
      </w:pPr>
    </w:p>
    <w:p w14:paraId="12CAC154" w14:textId="77777777" w:rsidR="000D2B32" w:rsidRDefault="001E0544">
      <w:pPr>
        <w:pStyle w:val="af1"/>
      </w:pPr>
      <w:r>
        <w:t>Technology Name</w:t>
      </w:r>
    </w:p>
    <w:p w14:paraId="07677C80" w14:textId="77777777" w:rsidR="000D2B32" w:rsidRDefault="001E0544">
      <w:pPr>
        <w:pStyle w:val="af0"/>
        <w:ind w:left="720"/>
      </w:pPr>
      <w:r>
        <w:rPr>
          <w:b/>
          <w:bCs/>
          <w:i/>
          <w:iCs/>
        </w:rPr>
        <w:t>Generic Name:</w:t>
      </w:r>
      <w:r>
        <w:t xml:space="preserve"> VUNO Med-</w:t>
      </w:r>
      <w:proofErr w:type="spellStart"/>
      <w:r>
        <w:t>DeepCARS</w:t>
      </w:r>
      <w:proofErr w:type="spellEnd"/>
    </w:p>
    <w:p w14:paraId="281FEAD5" w14:textId="77777777" w:rsidR="000D2B32" w:rsidRDefault="001E0544">
      <w:pPr>
        <w:pStyle w:val="af0"/>
        <w:ind w:left="720"/>
      </w:pPr>
      <w:r>
        <w:rPr>
          <w:b/>
          <w:bCs/>
          <w:i/>
          <w:iCs/>
        </w:rPr>
        <w:t>Trade Name:</w:t>
      </w:r>
      <w:r>
        <w:t xml:space="preserve"> VUNO Med-</w:t>
      </w:r>
      <w:proofErr w:type="spellStart"/>
      <w:r>
        <w:t>DeepCARS</w:t>
      </w:r>
      <w:proofErr w:type="spellEnd"/>
      <w:r>
        <w:t>®</w:t>
      </w:r>
    </w:p>
    <w:p w14:paraId="6B80A6EC" w14:textId="77777777" w:rsidR="000D2B32" w:rsidRDefault="001E0544">
      <w:pPr>
        <w:pStyle w:val="af0"/>
      </w:pPr>
      <w:r>
        <w:rPr>
          <w:b/>
          <w:bCs/>
        </w:rPr>
        <w:t>Applicant Name:</w:t>
      </w:r>
      <w:r>
        <w:t xml:space="preserve"> VUNO Med Inc.</w:t>
      </w:r>
    </w:p>
    <w:p w14:paraId="419098C1" w14:textId="77777777" w:rsidR="000D2B32" w:rsidRDefault="001E0544">
      <w:pPr>
        <w:pStyle w:val="af0"/>
      </w:pPr>
      <w:r>
        <w:rPr>
          <w:b/>
          <w:bCs/>
        </w:rPr>
        <w:t>Application Pathway:</w:t>
      </w:r>
      <w:r>
        <w:t xml:space="preserve"> Alternative</w:t>
      </w:r>
    </w:p>
    <w:p w14:paraId="6341090A"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104B82C" w14:textId="77777777" w:rsidR="000D2B32" w:rsidRDefault="001E0544">
      <w:pPr>
        <w:pStyle w:val="af1"/>
      </w:pPr>
      <w:r>
        <w:t xml:space="preserve">Brief Description of the Technology: </w:t>
      </w:r>
    </w:p>
    <w:p w14:paraId="3D1A4D45" w14:textId="77777777" w:rsidR="000D2B32" w:rsidRDefault="001E0544">
      <w:pPr>
        <w:pStyle w:val="af0"/>
      </w:pPr>
      <w:proofErr w:type="spellStart"/>
      <w:r>
        <w:t>DeepCARS</w:t>
      </w:r>
      <w:proofErr w:type="spellEnd"/>
      <w:r>
        <w:t>® is an artificial intelligence (AI) based technology that monitors and assesses the risk of impending cardiac arrest within a 24-hour period among inpatients in general hospital wards.</w:t>
      </w:r>
    </w:p>
    <w:p w14:paraId="35132F60" w14:textId="77777777" w:rsidR="000D2B32" w:rsidRDefault="001E0544">
      <w:r>
        <w:br w:type="page"/>
      </w:r>
    </w:p>
    <w:p w14:paraId="3BA24CF3" w14:textId="77777777" w:rsidR="000D2B32" w:rsidRDefault="000D2B32">
      <w:pPr>
        <w:pStyle w:val="af"/>
      </w:pPr>
    </w:p>
    <w:p w14:paraId="5C6EDD91" w14:textId="77777777" w:rsidR="000D2B32" w:rsidRDefault="001E0544">
      <w:pPr>
        <w:pStyle w:val="af1"/>
      </w:pPr>
      <w:r>
        <w:t>Technology Name</w:t>
      </w:r>
    </w:p>
    <w:p w14:paraId="2436F4F8" w14:textId="77777777" w:rsidR="000D2B32" w:rsidRDefault="001E0544">
      <w:pPr>
        <w:pStyle w:val="af0"/>
        <w:ind w:left="720"/>
      </w:pPr>
      <w:r>
        <w:rPr>
          <w:b/>
          <w:bCs/>
          <w:i/>
          <w:iCs/>
        </w:rPr>
        <w:t>Generic Name:</w:t>
      </w:r>
      <w:r>
        <w:t xml:space="preserve"> Neuroimmune Modulation Therapy</w:t>
      </w:r>
    </w:p>
    <w:p w14:paraId="6B609A25" w14:textId="77777777" w:rsidR="000D2B32" w:rsidRDefault="001E0544">
      <w:pPr>
        <w:pStyle w:val="af0"/>
        <w:ind w:left="720"/>
      </w:pPr>
      <w:r>
        <w:rPr>
          <w:b/>
          <w:bCs/>
          <w:i/>
          <w:iCs/>
        </w:rPr>
        <w:t>Trade Name:</w:t>
      </w:r>
      <w:r>
        <w:t xml:space="preserve"> </w:t>
      </w:r>
      <w:proofErr w:type="spellStart"/>
      <w:r>
        <w:t>SetPoint</w:t>
      </w:r>
      <w:proofErr w:type="spellEnd"/>
      <w:r>
        <w:t xml:space="preserve"> System</w:t>
      </w:r>
    </w:p>
    <w:p w14:paraId="7406654A" w14:textId="77777777" w:rsidR="000D2B32" w:rsidRDefault="001E0544">
      <w:pPr>
        <w:pStyle w:val="af0"/>
      </w:pPr>
      <w:r>
        <w:rPr>
          <w:b/>
          <w:bCs/>
        </w:rPr>
        <w:t>Applicant Name:</w:t>
      </w:r>
      <w:r>
        <w:t xml:space="preserve"> </w:t>
      </w:r>
      <w:proofErr w:type="spellStart"/>
      <w:r>
        <w:t>SetPoint</w:t>
      </w:r>
      <w:proofErr w:type="spellEnd"/>
      <w:r>
        <w:t xml:space="preserve"> Medical Corporation</w:t>
      </w:r>
    </w:p>
    <w:p w14:paraId="3468BECC" w14:textId="77777777" w:rsidR="000D2B32" w:rsidRDefault="001E0544">
      <w:pPr>
        <w:pStyle w:val="af0"/>
      </w:pPr>
      <w:r>
        <w:rPr>
          <w:b/>
          <w:bCs/>
        </w:rPr>
        <w:t>Application Pathway:</w:t>
      </w:r>
      <w:r>
        <w:t xml:space="preserve"> Alternative</w:t>
      </w:r>
    </w:p>
    <w:p w14:paraId="316C55C7"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24237994" w14:textId="77777777" w:rsidR="000D2B32" w:rsidRDefault="001E0544">
      <w:pPr>
        <w:pStyle w:val="af1"/>
      </w:pPr>
      <w:r>
        <w:t xml:space="preserve">Brief Description of the Technology: </w:t>
      </w:r>
    </w:p>
    <w:p w14:paraId="7FFBE4C6" w14:textId="77777777" w:rsidR="000D2B32" w:rsidRDefault="001E0544">
      <w:pPr>
        <w:pStyle w:val="af0"/>
      </w:pPr>
      <w:r>
        <w:t xml:space="preserve">The </w:t>
      </w:r>
      <w:proofErr w:type="spellStart"/>
      <w:r>
        <w:t>SetPoint</w:t>
      </w:r>
      <w:proofErr w:type="spellEnd"/>
      <w:r>
        <w:t xml:space="preserve"> System is a fully integrated, rechargeable, implantable </w:t>
      </w:r>
      <w:proofErr w:type="spellStart"/>
      <w:r>
        <w:t>vagus</w:t>
      </w:r>
      <w:proofErr w:type="spellEnd"/>
      <w:r>
        <w:t xml:space="preserve"> nerve stimulation system used to treat individuals with moderate to severe rheumatoid arthritis who have experienced a loss of efficacy, inadequate response or intolerance to one or more biologic or targeted synthetic disease modifying antirheumatic drugs (DMARDs).</w:t>
      </w:r>
    </w:p>
    <w:p w14:paraId="7D84811A" w14:textId="77777777" w:rsidR="000D2B32" w:rsidRDefault="001E0544">
      <w:r>
        <w:br w:type="page"/>
      </w:r>
    </w:p>
    <w:p w14:paraId="5F59C857" w14:textId="77777777" w:rsidR="000D2B32" w:rsidRDefault="000D2B32">
      <w:pPr>
        <w:pStyle w:val="af"/>
      </w:pPr>
    </w:p>
    <w:p w14:paraId="1267A23A" w14:textId="77777777" w:rsidR="000D2B32" w:rsidRDefault="001E0544">
      <w:pPr>
        <w:pStyle w:val="af1"/>
      </w:pPr>
      <w:r>
        <w:t>Technology Name</w:t>
      </w:r>
    </w:p>
    <w:p w14:paraId="2CC73EC6" w14:textId="77777777" w:rsidR="000D2B32" w:rsidRDefault="001E0544">
      <w:pPr>
        <w:pStyle w:val="af0"/>
        <w:ind w:left="720"/>
      </w:pPr>
      <w:r>
        <w:rPr>
          <w:b/>
          <w:bCs/>
          <w:i/>
          <w:iCs/>
        </w:rPr>
        <w:t>Generic Name:</w:t>
      </w:r>
      <w:r>
        <w:t xml:space="preserve"> Transdermal test for Assessment of Glomerular Filtration Rate (GFR)</w:t>
      </w:r>
    </w:p>
    <w:p w14:paraId="72BFF224" w14:textId="77777777" w:rsidR="000D2B32" w:rsidRDefault="001E0544">
      <w:pPr>
        <w:pStyle w:val="af0"/>
        <w:ind w:left="720"/>
      </w:pPr>
      <w:r>
        <w:rPr>
          <w:b/>
          <w:bCs/>
          <w:i/>
          <w:iCs/>
        </w:rPr>
        <w:t>Trade Name:</w:t>
      </w:r>
      <w:r>
        <w:t xml:space="preserve"> </w:t>
      </w:r>
      <w:proofErr w:type="spellStart"/>
      <w:r>
        <w:t>MediBeacon</w:t>
      </w:r>
      <w:proofErr w:type="spellEnd"/>
      <w:r>
        <w:t>® Transdermal GFR Measurement System (TGFR)</w:t>
      </w:r>
    </w:p>
    <w:p w14:paraId="48B94278" w14:textId="77777777" w:rsidR="000D2B32" w:rsidRDefault="001E0544">
      <w:pPr>
        <w:pStyle w:val="af0"/>
      </w:pPr>
      <w:r>
        <w:rPr>
          <w:b/>
          <w:bCs/>
        </w:rPr>
        <w:t>Applicant Name:</w:t>
      </w:r>
      <w:r>
        <w:t xml:space="preserve"> </w:t>
      </w:r>
      <w:proofErr w:type="spellStart"/>
      <w:r>
        <w:t>MediBeacon</w:t>
      </w:r>
      <w:proofErr w:type="spellEnd"/>
    </w:p>
    <w:p w14:paraId="0637C4F2" w14:textId="77777777" w:rsidR="000D2B32" w:rsidRDefault="001E0544">
      <w:pPr>
        <w:pStyle w:val="af0"/>
      </w:pPr>
      <w:r>
        <w:rPr>
          <w:b/>
          <w:bCs/>
        </w:rPr>
        <w:t>Application Pathway:</w:t>
      </w:r>
      <w:r>
        <w:t xml:space="preserve"> Alternative</w:t>
      </w:r>
    </w:p>
    <w:p w14:paraId="248B391B"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0C1A7556" w14:textId="77777777" w:rsidR="000D2B32" w:rsidRDefault="001E0544">
      <w:pPr>
        <w:pStyle w:val="af1"/>
      </w:pPr>
      <w:r>
        <w:t xml:space="preserve">Brief Description of the Technology: </w:t>
      </w:r>
    </w:p>
    <w:p w14:paraId="6E142461" w14:textId="77777777" w:rsidR="000D2B32" w:rsidRDefault="001E0544">
      <w:pPr>
        <w:pStyle w:val="af0"/>
      </w:pPr>
      <w:r>
        <w:t xml:space="preserve">The </w:t>
      </w:r>
      <w:proofErr w:type="spellStart"/>
      <w:r>
        <w:t>MediBeacon</w:t>
      </w:r>
      <w:proofErr w:type="spellEnd"/>
      <w:r>
        <w:t>® Transdermal GFR System (TGFR) provides an assessment of GFR at the point of care and employs an intravenously administered fluorescent tracer agent which has been engineered to be excreted exclusively by the kidneys. Noninvasive transdermal fluorescence detection of the excretion rate of the agent is converted into a GFR reading</w:t>
      </w:r>
    </w:p>
    <w:p w14:paraId="15C489AA" w14:textId="77777777" w:rsidR="000D2B32" w:rsidRDefault="001E0544">
      <w:r>
        <w:br w:type="page"/>
      </w:r>
    </w:p>
    <w:p w14:paraId="2FE1EBF1" w14:textId="77777777" w:rsidR="000D2B32" w:rsidRDefault="000D2B32">
      <w:pPr>
        <w:pStyle w:val="af"/>
      </w:pPr>
    </w:p>
    <w:p w14:paraId="09254456" w14:textId="77777777" w:rsidR="000D2B32" w:rsidRDefault="001E0544">
      <w:pPr>
        <w:pStyle w:val="af1"/>
      </w:pPr>
      <w:r>
        <w:t>Technology Name</w:t>
      </w:r>
    </w:p>
    <w:p w14:paraId="75BB4B2A" w14:textId="77777777" w:rsidR="000D2B32" w:rsidRDefault="001E0544">
      <w:pPr>
        <w:pStyle w:val="af0"/>
        <w:ind w:left="720"/>
      </w:pPr>
      <w:r>
        <w:rPr>
          <w:b/>
          <w:bCs/>
          <w:i/>
          <w:iCs/>
        </w:rPr>
        <w:t>Generic Name:</w:t>
      </w:r>
      <w:r>
        <w:t xml:space="preserve"> Epicardial access system</w:t>
      </w:r>
    </w:p>
    <w:p w14:paraId="2D3F85BE" w14:textId="77777777" w:rsidR="000D2B32" w:rsidRDefault="001E0544">
      <w:pPr>
        <w:pStyle w:val="af0"/>
        <w:ind w:left="720"/>
      </w:pPr>
      <w:r>
        <w:rPr>
          <w:b/>
          <w:bCs/>
          <w:i/>
          <w:iCs/>
        </w:rPr>
        <w:t>Trade Name:</w:t>
      </w:r>
      <w:r>
        <w:t xml:space="preserve"> </w:t>
      </w:r>
      <w:proofErr w:type="spellStart"/>
      <w:r>
        <w:t>ViaOne</w:t>
      </w:r>
      <w:proofErr w:type="spellEnd"/>
      <w:r>
        <w:t xml:space="preserve"> Epicardial Access System</w:t>
      </w:r>
    </w:p>
    <w:p w14:paraId="78FA8AAF" w14:textId="77777777" w:rsidR="000D2B32" w:rsidRDefault="001E0544">
      <w:pPr>
        <w:pStyle w:val="af0"/>
      </w:pPr>
      <w:r>
        <w:rPr>
          <w:b/>
          <w:bCs/>
        </w:rPr>
        <w:t>Applicant Name:</w:t>
      </w:r>
      <w:r>
        <w:t xml:space="preserve"> </w:t>
      </w:r>
      <w:proofErr w:type="spellStart"/>
      <w:r>
        <w:t>CardioVia</w:t>
      </w:r>
      <w:proofErr w:type="spellEnd"/>
      <w:r>
        <w:t xml:space="preserve"> Ltd</w:t>
      </w:r>
    </w:p>
    <w:p w14:paraId="3EA75269" w14:textId="77777777" w:rsidR="000D2B32" w:rsidRDefault="001E0544">
      <w:pPr>
        <w:pStyle w:val="af0"/>
      </w:pPr>
      <w:r>
        <w:rPr>
          <w:b/>
          <w:bCs/>
        </w:rPr>
        <w:t>Application Pathway:</w:t>
      </w:r>
      <w:r>
        <w:t xml:space="preserve"> Alternative</w:t>
      </w:r>
    </w:p>
    <w:p w14:paraId="34116348"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1A1A9288" w14:textId="77777777" w:rsidR="000D2B32" w:rsidRDefault="001E0544">
      <w:pPr>
        <w:pStyle w:val="af1"/>
      </w:pPr>
      <w:r>
        <w:t xml:space="preserve">Brief Description of the Technology: </w:t>
      </w:r>
    </w:p>
    <w:p w14:paraId="087428ED" w14:textId="77777777" w:rsidR="000D2B32" w:rsidRDefault="001E0544">
      <w:pPr>
        <w:pStyle w:val="af0"/>
      </w:pPr>
      <w:r>
        <w:t xml:space="preserve">The </w:t>
      </w:r>
      <w:proofErr w:type="spellStart"/>
      <w:r>
        <w:t>ViaOne</w:t>
      </w:r>
      <w:proofErr w:type="spellEnd"/>
      <w:r>
        <w:t xml:space="preserve"> Epicardial Access System (</w:t>
      </w:r>
      <w:proofErr w:type="spellStart"/>
      <w:r>
        <w:t>ViaOne</w:t>
      </w:r>
      <w:proofErr w:type="spellEnd"/>
      <w:r>
        <w:t>) is a sterile, single use device, designed to allow safe pericardial access utilizing a proprietary mechanism of entry into the pericardial sac with a blunt tip and a concealed needle.</w:t>
      </w:r>
    </w:p>
    <w:p w14:paraId="6B52C471" w14:textId="77777777" w:rsidR="000D2B32" w:rsidRDefault="001E0544">
      <w:r>
        <w:br w:type="page"/>
      </w:r>
    </w:p>
    <w:p w14:paraId="614713AB" w14:textId="77777777" w:rsidR="000D2B32" w:rsidRDefault="000D2B32">
      <w:pPr>
        <w:pStyle w:val="af"/>
      </w:pPr>
    </w:p>
    <w:p w14:paraId="7ECA6142" w14:textId="77777777" w:rsidR="000D2B32" w:rsidRDefault="001E0544">
      <w:pPr>
        <w:pStyle w:val="af1"/>
      </w:pPr>
      <w:r>
        <w:t>Technology Name</w:t>
      </w:r>
    </w:p>
    <w:p w14:paraId="35020E86" w14:textId="77777777" w:rsidR="000D2B32" w:rsidRDefault="001E0544">
      <w:pPr>
        <w:pStyle w:val="af0"/>
        <w:ind w:left="720"/>
      </w:pPr>
      <w:r>
        <w:rPr>
          <w:b/>
          <w:bCs/>
          <w:i/>
          <w:iCs/>
        </w:rPr>
        <w:t>Generic Name:</w:t>
      </w:r>
      <w:r>
        <w:t xml:space="preserve"> Peptide Enhanced Bone Void Filler</w:t>
      </w:r>
    </w:p>
    <w:p w14:paraId="2AF3F3BD" w14:textId="77777777" w:rsidR="000D2B32" w:rsidRDefault="001E0544">
      <w:pPr>
        <w:pStyle w:val="af0"/>
        <w:ind w:left="720"/>
      </w:pPr>
      <w:r>
        <w:rPr>
          <w:b/>
          <w:bCs/>
          <w:i/>
          <w:iCs/>
        </w:rPr>
        <w:t>Trade Name:</w:t>
      </w:r>
      <w:r>
        <w:t xml:space="preserve"> </w:t>
      </w:r>
      <w:proofErr w:type="spellStart"/>
      <w:r>
        <w:t>PearlMatrix</w:t>
      </w:r>
      <w:proofErr w:type="spellEnd"/>
      <w:r>
        <w:t>™ P-15 Peptide Enhanced Bone Graft</w:t>
      </w:r>
    </w:p>
    <w:p w14:paraId="6BDA50F4" w14:textId="77777777" w:rsidR="000D2B32" w:rsidRDefault="001E0544">
      <w:pPr>
        <w:pStyle w:val="af0"/>
      </w:pPr>
      <w:r>
        <w:rPr>
          <w:b/>
          <w:bCs/>
        </w:rPr>
        <w:t>Applicant Name:</w:t>
      </w:r>
      <w:r>
        <w:t xml:space="preserve"> </w:t>
      </w:r>
      <w:proofErr w:type="spellStart"/>
      <w:r>
        <w:t>Cerapedics</w:t>
      </w:r>
      <w:proofErr w:type="spellEnd"/>
      <w:r>
        <w:t xml:space="preserve"> Inc.</w:t>
      </w:r>
    </w:p>
    <w:p w14:paraId="3160A2CB" w14:textId="77777777" w:rsidR="000D2B32" w:rsidRDefault="001E0544">
      <w:pPr>
        <w:pStyle w:val="af0"/>
      </w:pPr>
      <w:r>
        <w:rPr>
          <w:b/>
          <w:bCs/>
        </w:rPr>
        <w:t>Application Pathway:</w:t>
      </w:r>
      <w:r>
        <w:t xml:space="preserve"> Alternative</w:t>
      </w:r>
    </w:p>
    <w:p w14:paraId="63520CDA"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DC3EF7E" w14:textId="77777777" w:rsidR="000D2B32" w:rsidRDefault="001E0544">
      <w:pPr>
        <w:pStyle w:val="af1"/>
      </w:pPr>
      <w:r>
        <w:t xml:space="preserve">Brief Description of the Technology: </w:t>
      </w:r>
    </w:p>
    <w:p w14:paraId="40C7AEFB" w14:textId="77777777" w:rsidR="000D2B32" w:rsidRDefault="001E0544">
      <w:pPr>
        <w:pStyle w:val="af0"/>
      </w:pPr>
      <w:proofErr w:type="spellStart"/>
      <w:r>
        <w:t>PearlMatrix</w:t>
      </w:r>
      <w:proofErr w:type="spellEnd"/>
      <w:r>
        <w:t>™ P-15 Peptide Enhanced Bone Graft is a composite bone graft material consisting of a synthetic peptide, found naturally occurring in human Type I collagen (P-15), adsorbed onto calcium phosphate particles, which are incorporated into a fibrous collagen matrix putty as an inert carrier.</w:t>
      </w:r>
    </w:p>
    <w:p w14:paraId="4790B6D7" w14:textId="77777777" w:rsidR="000D2B32" w:rsidRDefault="001E0544">
      <w:r>
        <w:br w:type="page"/>
      </w:r>
    </w:p>
    <w:p w14:paraId="15C31FEA" w14:textId="77777777" w:rsidR="000D2B32" w:rsidRDefault="000D2B32">
      <w:pPr>
        <w:pStyle w:val="af"/>
      </w:pPr>
    </w:p>
    <w:p w14:paraId="79AC0442" w14:textId="77777777" w:rsidR="000D2B32" w:rsidRDefault="001E0544">
      <w:pPr>
        <w:pStyle w:val="af1"/>
      </w:pPr>
      <w:r>
        <w:t>Technology Name</w:t>
      </w:r>
    </w:p>
    <w:p w14:paraId="572C5747" w14:textId="77777777" w:rsidR="000D2B32" w:rsidRDefault="001E0544">
      <w:pPr>
        <w:pStyle w:val="af0"/>
        <w:ind w:left="720"/>
      </w:pPr>
      <w:r>
        <w:rPr>
          <w:b/>
          <w:bCs/>
          <w:i/>
          <w:iCs/>
        </w:rPr>
        <w:t>Generic Name:</w:t>
      </w:r>
      <w:r>
        <w:t xml:space="preserve"> N/A</w:t>
      </w:r>
    </w:p>
    <w:p w14:paraId="5B1D3002" w14:textId="77777777" w:rsidR="000D2B32" w:rsidRDefault="001E0544">
      <w:pPr>
        <w:pStyle w:val="af0"/>
        <w:ind w:left="720"/>
      </w:pPr>
      <w:r>
        <w:rPr>
          <w:b/>
          <w:bCs/>
          <w:i/>
          <w:iCs/>
        </w:rPr>
        <w:t>Trade Name:</w:t>
      </w:r>
      <w:r>
        <w:t xml:space="preserve"> CARA System</w:t>
      </w:r>
    </w:p>
    <w:p w14:paraId="09C7A82D" w14:textId="77777777" w:rsidR="000D2B32" w:rsidRDefault="001E0544">
      <w:pPr>
        <w:pStyle w:val="af0"/>
      </w:pPr>
      <w:r>
        <w:rPr>
          <w:b/>
          <w:bCs/>
        </w:rPr>
        <w:t>Applicant Name:</w:t>
      </w:r>
      <w:r>
        <w:t xml:space="preserve"> Cara Medical</w:t>
      </w:r>
    </w:p>
    <w:p w14:paraId="4B8B8BF5" w14:textId="77777777" w:rsidR="000D2B32" w:rsidRDefault="001E0544">
      <w:pPr>
        <w:pStyle w:val="af0"/>
      </w:pPr>
      <w:r>
        <w:rPr>
          <w:b/>
          <w:bCs/>
        </w:rPr>
        <w:t>Application Pathway:</w:t>
      </w:r>
      <w:r>
        <w:t xml:space="preserve"> Alternative</w:t>
      </w:r>
    </w:p>
    <w:p w14:paraId="43850607"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61451415" w14:textId="77777777" w:rsidR="000D2B32" w:rsidRDefault="001E0544">
      <w:pPr>
        <w:pStyle w:val="af1"/>
      </w:pPr>
      <w:r>
        <w:t xml:space="preserve">Brief Description of the Technology: </w:t>
      </w:r>
    </w:p>
    <w:p w14:paraId="322045CB" w14:textId="77777777" w:rsidR="000D2B32" w:rsidRDefault="001E0544">
      <w:pPr>
        <w:pStyle w:val="af0"/>
      </w:pPr>
      <w:r>
        <w:t>The CARA System software simulates the path of the conduction system using anatomical landmarks identifiable on CTA imaging to enable Conduction Guided Intervention (CGI). CARA augmented fluoroscopy can be used to help the operator visualize, during the procedure, the proximity of his tools and device to the patient’s conduction system.</w:t>
      </w:r>
    </w:p>
    <w:p w14:paraId="1B224042" w14:textId="77777777" w:rsidR="000D2B32" w:rsidRDefault="001E0544">
      <w:r>
        <w:br w:type="page"/>
      </w:r>
    </w:p>
    <w:p w14:paraId="0C07F0B5" w14:textId="77777777" w:rsidR="000D2B32" w:rsidRDefault="000D2B32">
      <w:pPr>
        <w:pStyle w:val="af"/>
      </w:pPr>
    </w:p>
    <w:p w14:paraId="27AA033B" w14:textId="77777777" w:rsidR="000D2B32" w:rsidRDefault="001E0544">
      <w:pPr>
        <w:pStyle w:val="af1"/>
      </w:pPr>
      <w:r>
        <w:t>Technology Name</w:t>
      </w:r>
    </w:p>
    <w:p w14:paraId="404AC01B" w14:textId="77777777" w:rsidR="000D2B32" w:rsidRDefault="001E0544">
      <w:pPr>
        <w:pStyle w:val="af0"/>
        <w:ind w:left="720"/>
      </w:pPr>
      <w:r>
        <w:rPr>
          <w:b/>
          <w:bCs/>
          <w:i/>
          <w:iCs/>
        </w:rPr>
        <w:t>Generic Name:</w:t>
      </w:r>
      <w:r>
        <w:t xml:space="preserve"> </w:t>
      </w:r>
      <w:proofErr w:type="spellStart"/>
      <w:r>
        <w:t>PMcardio</w:t>
      </w:r>
      <w:proofErr w:type="spellEnd"/>
    </w:p>
    <w:p w14:paraId="0EB8A534" w14:textId="77777777" w:rsidR="000D2B32" w:rsidRDefault="001E0544">
      <w:pPr>
        <w:pStyle w:val="af0"/>
        <w:ind w:left="720"/>
      </w:pPr>
      <w:r>
        <w:rPr>
          <w:b/>
          <w:bCs/>
          <w:i/>
          <w:iCs/>
        </w:rPr>
        <w:t>Trade Name:</w:t>
      </w:r>
      <w:r>
        <w:t xml:space="preserve"> </w:t>
      </w:r>
      <w:proofErr w:type="spellStart"/>
      <w:r>
        <w:t>PMcardio</w:t>
      </w:r>
      <w:proofErr w:type="spellEnd"/>
      <w:r>
        <w:t>® STEMI AI ECG Model</w:t>
      </w:r>
    </w:p>
    <w:p w14:paraId="5CA663C0" w14:textId="77777777" w:rsidR="000D2B32" w:rsidRDefault="001E0544">
      <w:pPr>
        <w:pStyle w:val="af0"/>
      </w:pPr>
      <w:r>
        <w:rPr>
          <w:b/>
          <w:bCs/>
        </w:rPr>
        <w:t>Applicant Name:</w:t>
      </w:r>
      <w:r>
        <w:t xml:space="preserve"> Powerful Medical Inc.</w:t>
      </w:r>
    </w:p>
    <w:p w14:paraId="764DAEDD" w14:textId="77777777" w:rsidR="000D2B32" w:rsidRDefault="001E0544">
      <w:pPr>
        <w:pStyle w:val="af0"/>
      </w:pPr>
      <w:r>
        <w:rPr>
          <w:b/>
          <w:bCs/>
        </w:rPr>
        <w:t>Application Pathway:</w:t>
      </w:r>
      <w:r>
        <w:t xml:space="preserve"> Alternative</w:t>
      </w:r>
    </w:p>
    <w:p w14:paraId="1D3A46A1"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FB44928" w14:textId="77777777" w:rsidR="000D2B32" w:rsidRDefault="001E0544">
      <w:pPr>
        <w:pStyle w:val="af1"/>
      </w:pPr>
      <w:r>
        <w:t xml:space="preserve">Brief Description of the Technology: </w:t>
      </w:r>
    </w:p>
    <w:p w14:paraId="226765FD" w14:textId="77777777" w:rsidR="000D2B32" w:rsidRDefault="001E0544">
      <w:pPr>
        <w:pStyle w:val="af0"/>
      </w:pPr>
      <w:r>
        <w:t xml:space="preserve">The STEMI AI ECG Model is a stand-alone software device intended to analyze resting 12-lead ECGs of patients presenting with symptoms suspicious </w:t>
      </w:r>
      <w:proofErr w:type="gramStart"/>
      <w:r>
        <w:t>for</w:t>
      </w:r>
      <w:proofErr w:type="gramEnd"/>
      <w:r>
        <w:t xml:space="preserve"> acute coronary syndromes in the hospital setting. The technology identifies ECG patterns of STEMI/STEMI-equivalents as an adjunctive decision support tool used by healthcare professionals.</w:t>
      </w:r>
    </w:p>
    <w:p w14:paraId="73C0684F" w14:textId="77777777" w:rsidR="000D2B32" w:rsidRDefault="001E0544">
      <w:r>
        <w:br w:type="page"/>
      </w:r>
    </w:p>
    <w:p w14:paraId="376E90E4" w14:textId="77777777" w:rsidR="000D2B32" w:rsidRDefault="000D2B32">
      <w:pPr>
        <w:pStyle w:val="af"/>
      </w:pPr>
    </w:p>
    <w:p w14:paraId="27B94DC7" w14:textId="77777777" w:rsidR="000D2B32" w:rsidRDefault="001E0544">
      <w:pPr>
        <w:pStyle w:val="af1"/>
      </w:pPr>
      <w:r>
        <w:t>Technology Name</w:t>
      </w:r>
    </w:p>
    <w:p w14:paraId="0AE981B2" w14:textId="77777777" w:rsidR="000D2B32" w:rsidRDefault="001E0544">
      <w:pPr>
        <w:pStyle w:val="af0"/>
        <w:ind w:left="720"/>
      </w:pPr>
      <w:r>
        <w:rPr>
          <w:b/>
          <w:bCs/>
          <w:i/>
          <w:iCs/>
        </w:rPr>
        <w:t>Generic Name:</w:t>
      </w:r>
      <w:r>
        <w:t xml:space="preserve"> Bayesian Health Sepsis Flagging Device</w:t>
      </w:r>
    </w:p>
    <w:p w14:paraId="3B213832" w14:textId="77777777" w:rsidR="000D2B32" w:rsidRDefault="001E0544">
      <w:pPr>
        <w:pStyle w:val="af0"/>
        <w:ind w:left="720"/>
      </w:pPr>
      <w:r>
        <w:rPr>
          <w:b/>
          <w:bCs/>
          <w:i/>
          <w:iCs/>
        </w:rPr>
        <w:t>Trade Name:</w:t>
      </w:r>
      <w:r>
        <w:t xml:space="preserve"> Bayesian Health Sepsis Flagging Device</w:t>
      </w:r>
    </w:p>
    <w:p w14:paraId="0475A84A" w14:textId="77777777" w:rsidR="000D2B32" w:rsidRDefault="001E0544">
      <w:pPr>
        <w:pStyle w:val="af0"/>
      </w:pPr>
      <w:r>
        <w:rPr>
          <w:b/>
          <w:bCs/>
        </w:rPr>
        <w:t>Applicant Name:</w:t>
      </w:r>
      <w:r>
        <w:t xml:space="preserve"> Bayesian Health</w:t>
      </w:r>
    </w:p>
    <w:p w14:paraId="30C5D55B" w14:textId="77777777" w:rsidR="000D2B32" w:rsidRDefault="001E0544">
      <w:pPr>
        <w:pStyle w:val="af0"/>
      </w:pPr>
      <w:r>
        <w:rPr>
          <w:b/>
          <w:bCs/>
        </w:rPr>
        <w:t>Application Pathway:</w:t>
      </w:r>
      <w:r>
        <w:t xml:space="preserve"> Alternative</w:t>
      </w:r>
    </w:p>
    <w:p w14:paraId="3096DFEC"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27192EBD" w14:textId="77777777" w:rsidR="000D2B32" w:rsidRDefault="001E0544">
      <w:pPr>
        <w:pStyle w:val="af1"/>
      </w:pPr>
      <w:r>
        <w:t xml:space="preserve">Brief Description of the Technology: </w:t>
      </w:r>
    </w:p>
    <w:p w14:paraId="0C22BF83" w14:textId="77777777" w:rsidR="000D2B32" w:rsidRDefault="001E0544">
      <w:pPr>
        <w:pStyle w:val="af0"/>
      </w:pPr>
      <w:r>
        <w:t>The Bayesian Health Sepsis Flagging Device (previously named the Targeted Real-time Early Warning System (TREWS)) is artificial intelligence and machine learning-based SaMD intended for use in conjunction with clinical assessments and other laboratory findings to aid the early detection and/or risk prediction of sepsis within the next 4 days.</w:t>
      </w:r>
    </w:p>
    <w:p w14:paraId="2C19B692" w14:textId="77777777" w:rsidR="000D2B32" w:rsidRDefault="001E0544">
      <w:r>
        <w:br w:type="page"/>
      </w:r>
    </w:p>
    <w:p w14:paraId="717DB86E" w14:textId="77777777" w:rsidR="000D2B32" w:rsidRDefault="000D2B32">
      <w:pPr>
        <w:pStyle w:val="af"/>
      </w:pPr>
    </w:p>
    <w:p w14:paraId="7F195968" w14:textId="77777777" w:rsidR="000D2B32" w:rsidRDefault="001E0544">
      <w:pPr>
        <w:pStyle w:val="af1"/>
      </w:pPr>
      <w:r>
        <w:t>Technology Name</w:t>
      </w:r>
    </w:p>
    <w:p w14:paraId="0A87D7F5" w14:textId="77777777" w:rsidR="000D2B32" w:rsidRDefault="001E0544">
      <w:pPr>
        <w:pStyle w:val="af0"/>
        <w:ind w:left="720"/>
      </w:pPr>
      <w:r>
        <w:rPr>
          <w:b/>
          <w:bCs/>
          <w:i/>
          <w:iCs/>
        </w:rPr>
        <w:t>Generic Name:</w:t>
      </w:r>
      <w:r>
        <w:t xml:space="preserve"> </w:t>
      </w:r>
      <w:proofErr w:type="spellStart"/>
      <w:r>
        <w:t>Lumenless</w:t>
      </w:r>
      <w:proofErr w:type="spellEnd"/>
      <w:r>
        <w:t xml:space="preserve"> Catheter-Delivered Integrated Bipolar Small-Diameter Defibrillation Lead</w:t>
      </w:r>
    </w:p>
    <w:p w14:paraId="18747825" w14:textId="77777777" w:rsidR="000D2B32" w:rsidRDefault="001E0544">
      <w:pPr>
        <w:pStyle w:val="af0"/>
        <w:ind w:left="720"/>
      </w:pPr>
      <w:r>
        <w:rPr>
          <w:b/>
          <w:bCs/>
          <w:i/>
          <w:iCs/>
        </w:rPr>
        <w:t>Trade Name:</w:t>
      </w:r>
      <w:r>
        <w:t xml:space="preserve"> </w:t>
      </w:r>
      <w:proofErr w:type="spellStart"/>
      <w:r>
        <w:t>OmniaSecure</w:t>
      </w:r>
      <w:proofErr w:type="spellEnd"/>
      <w:r>
        <w:t xml:space="preserve">™ MRI </w:t>
      </w:r>
      <w:proofErr w:type="spellStart"/>
      <w:r>
        <w:t>SureScan</w:t>
      </w:r>
      <w:proofErr w:type="spellEnd"/>
      <w:r>
        <w:t>™ Lead Model 3930M</w:t>
      </w:r>
    </w:p>
    <w:p w14:paraId="4731E860" w14:textId="77777777" w:rsidR="000D2B32" w:rsidRDefault="001E0544">
      <w:pPr>
        <w:pStyle w:val="af0"/>
      </w:pPr>
      <w:r>
        <w:rPr>
          <w:b/>
          <w:bCs/>
        </w:rPr>
        <w:t>Applicant Name:</w:t>
      </w:r>
      <w:r>
        <w:t xml:space="preserve"> Medtronic</w:t>
      </w:r>
    </w:p>
    <w:p w14:paraId="60AC88E9" w14:textId="77777777" w:rsidR="000D2B32" w:rsidRDefault="001E0544">
      <w:pPr>
        <w:pStyle w:val="af0"/>
      </w:pPr>
      <w:r>
        <w:rPr>
          <w:b/>
          <w:bCs/>
        </w:rPr>
        <w:t>Application Pathway:</w:t>
      </w:r>
      <w:r>
        <w:t xml:space="preserve"> Alternative</w:t>
      </w:r>
    </w:p>
    <w:p w14:paraId="560D2AE9"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234056F" w14:textId="77777777" w:rsidR="000D2B32" w:rsidRDefault="001E0544">
      <w:pPr>
        <w:pStyle w:val="af1"/>
      </w:pPr>
      <w:r>
        <w:t xml:space="preserve">Brief Description of the Technology: </w:t>
      </w:r>
    </w:p>
    <w:p w14:paraId="30C15688" w14:textId="77777777" w:rsidR="000D2B32" w:rsidRDefault="001E0544">
      <w:pPr>
        <w:pStyle w:val="af0"/>
      </w:pPr>
      <w:r>
        <w:t xml:space="preserve">Medtronic’s </w:t>
      </w:r>
      <w:proofErr w:type="spellStart"/>
      <w:r>
        <w:t>OmniaSecure</w:t>
      </w:r>
      <w:proofErr w:type="spellEnd"/>
      <w:r>
        <w:t>™ defibrillation lead is an implantable defibrillation lead designed to deliver pacing, sensing, cardioversion, and defibrillation therapy for patients at risk of life-threatening ventricular arrhythmias. It differs from other defibrillation leads via its small diameter and high projected reliability.</w:t>
      </w:r>
    </w:p>
    <w:p w14:paraId="042165C5" w14:textId="77777777" w:rsidR="000D2B32" w:rsidRDefault="001E0544">
      <w:r>
        <w:br w:type="page"/>
      </w:r>
    </w:p>
    <w:p w14:paraId="1049D930" w14:textId="77777777" w:rsidR="000D2B32" w:rsidRDefault="000D2B32">
      <w:pPr>
        <w:pStyle w:val="af"/>
      </w:pPr>
    </w:p>
    <w:p w14:paraId="7C1DB6C3" w14:textId="77777777" w:rsidR="000D2B32" w:rsidRDefault="001E0544">
      <w:pPr>
        <w:pStyle w:val="af1"/>
      </w:pPr>
      <w:r>
        <w:t>Technology Name</w:t>
      </w:r>
    </w:p>
    <w:p w14:paraId="1AF95D1D" w14:textId="77777777" w:rsidR="000D2B32" w:rsidRDefault="001E0544">
      <w:pPr>
        <w:pStyle w:val="af0"/>
        <w:ind w:left="720"/>
      </w:pPr>
      <w:r>
        <w:rPr>
          <w:b/>
          <w:bCs/>
          <w:i/>
          <w:iCs/>
        </w:rPr>
        <w:t>Generic Name:</w:t>
      </w:r>
      <w:r>
        <w:t xml:space="preserve"> </w:t>
      </w:r>
      <w:proofErr w:type="spellStart"/>
      <w:r>
        <w:t>clemidsogene</w:t>
      </w:r>
      <w:proofErr w:type="spellEnd"/>
      <w:r>
        <w:t xml:space="preserve"> </w:t>
      </w:r>
      <w:proofErr w:type="spellStart"/>
      <w:r>
        <w:t>lanparvovec-sngl</w:t>
      </w:r>
      <w:proofErr w:type="spellEnd"/>
    </w:p>
    <w:p w14:paraId="6B75E831" w14:textId="77777777" w:rsidR="000D2B32" w:rsidRDefault="001E0544">
      <w:pPr>
        <w:pStyle w:val="af0"/>
        <w:ind w:left="720"/>
      </w:pPr>
      <w:r>
        <w:rPr>
          <w:b/>
          <w:bCs/>
          <w:i/>
          <w:iCs/>
        </w:rPr>
        <w:t>Trade Name:</w:t>
      </w:r>
      <w:r>
        <w:t xml:space="preserve"> NAVSUNLI</w:t>
      </w:r>
    </w:p>
    <w:p w14:paraId="255984A8" w14:textId="77777777" w:rsidR="000D2B32" w:rsidRDefault="001E0544">
      <w:pPr>
        <w:pStyle w:val="af0"/>
      </w:pPr>
      <w:r>
        <w:rPr>
          <w:b/>
          <w:bCs/>
        </w:rPr>
        <w:t>Applicant Name:</w:t>
      </w:r>
      <w:r>
        <w:t xml:space="preserve"> NS Pharma</w:t>
      </w:r>
    </w:p>
    <w:p w14:paraId="7642E763" w14:textId="77777777" w:rsidR="000D2B32" w:rsidRDefault="001E0544">
      <w:pPr>
        <w:pStyle w:val="af0"/>
      </w:pPr>
      <w:r>
        <w:rPr>
          <w:b/>
          <w:bCs/>
        </w:rPr>
        <w:t>Application Pathway:</w:t>
      </w:r>
      <w:r>
        <w:t xml:space="preserve"> Traditional</w:t>
      </w:r>
    </w:p>
    <w:p w14:paraId="7FB3B04E" w14:textId="77777777" w:rsidR="000D2B32" w:rsidRDefault="001E0544">
      <w:pPr>
        <w:pStyle w:val="af1"/>
      </w:pPr>
      <w:r>
        <w:t xml:space="preserve">Brief Description of the Technology: </w:t>
      </w:r>
    </w:p>
    <w:p w14:paraId="2B7F9D8B" w14:textId="77777777" w:rsidR="000D2B32" w:rsidRDefault="001E0544">
      <w:pPr>
        <w:pStyle w:val="af0"/>
      </w:pPr>
      <w:r>
        <w:t>NAVSUNLI (</w:t>
      </w:r>
      <w:proofErr w:type="spellStart"/>
      <w:r>
        <w:t>clemidsogene</w:t>
      </w:r>
      <w:proofErr w:type="spellEnd"/>
      <w:r>
        <w:t xml:space="preserve"> </w:t>
      </w:r>
      <w:proofErr w:type="spellStart"/>
      <w:r>
        <w:t>lanparvovec-sngl</w:t>
      </w:r>
      <w:proofErr w:type="spellEnd"/>
      <w:r>
        <w:t>) is an adeno-associated virus (AAV) vector-based gene therapy indicated for the treatment of patients with mucopolysaccharidosis type II (MPS II; Hunter syndrome).</w:t>
      </w:r>
    </w:p>
    <w:p w14:paraId="59CBA50D" w14:textId="77777777" w:rsidR="000D2B32" w:rsidRDefault="001E0544">
      <w:r>
        <w:br w:type="page"/>
      </w:r>
    </w:p>
    <w:p w14:paraId="484617D4" w14:textId="77777777" w:rsidR="000D2B32" w:rsidRDefault="000D2B32">
      <w:pPr>
        <w:pStyle w:val="af"/>
      </w:pPr>
    </w:p>
    <w:p w14:paraId="440CF6E5" w14:textId="77777777" w:rsidR="000D2B32" w:rsidRDefault="001E0544">
      <w:pPr>
        <w:pStyle w:val="af1"/>
      </w:pPr>
      <w:r>
        <w:t>Technology Name</w:t>
      </w:r>
    </w:p>
    <w:p w14:paraId="40688D4D" w14:textId="77777777" w:rsidR="000D2B32" w:rsidRDefault="001E0544">
      <w:pPr>
        <w:pStyle w:val="af0"/>
        <w:ind w:left="720"/>
      </w:pPr>
      <w:r>
        <w:rPr>
          <w:b/>
          <w:bCs/>
          <w:i/>
          <w:iCs/>
        </w:rPr>
        <w:t>Generic Name:</w:t>
      </w:r>
      <w:r>
        <w:t xml:space="preserve"> Filler, recombinant human bone morphogenetic protein, collagen scaffold, </w:t>
      </w:r>
      <w:proofErr w:type="spellStart"/>
      <w:r>
        <w:t>Osteoinduction</w:t>
      </w:r>
      <w:proofErr w:type="spellEnd"/>
    </w:p>
    <w:p w14:paraId="0601A236" w14:textId="77777777" w:rsidR="000D2B32" w:rsidRDefault="001E0544">
      <w:pPr>
        <w:pStyle w:val="af0"/>
        <w:ind w:left="720"/>
      </w:pPr>
      <w:r>
        <w:rPr>
          <w:b/>
          <w:bCs/>
          <w:i/>
          <w:iCs/>
        </w:rPr>
        <w:t>Trade Name:</w:t>
      </w:r>
      <w:r>
        <w:t xml:space="preserve"> Infuse(TM) Bone Graft</w:t>
      </w:r>
    </w:p>
    <w:p w14:paraId="07B89FED" w14:textId="77777777" w:rsidR="000D2B32" w:rsidRDefault="001E0544">
      <w:pPr>
        <w:pStyle w:val="af0"/>
      </w:pPr>
      <w:r>
        <w:rPr>
          <w:b/>
          <w:bCs/>
        </w:rPr>
        <w:t>Applicant Name:</w:t>
      </w:r>
      <w:r>
        <w:t xml:space="preserve"> Medtronic </w:t>
      </w:r>
      <w:proofErr w:type="spellStart"/>
      <w:r>
        <w:t>Sofamor</w:t>
      </w:r>
      <w:proofErr w:type="spellEnd"/>
      <w:r>
        <w:t xml:space="preserve"> Danek USA, Inc.</w:t>
      </w:r>
    </w:p>
    <w:p w14:paraId="50DC0450" w14:textId="77777777" w:rsidR="000D2B32" w:rsidRDefault="001E0544">
      <w:pPr>
        <w:pStyle w:val="af0"/>
      </w:pPr>
      <w:r>
        <w:rPr>
          <w:b/>
          <w:bCs/>
        </w:rPr>
        <w:t>Application Pathway:</w:t>
      </w:r>
      <w:r>
        <w:t xml:space="preserve"> Alternative</w:t>
      </w:r>
    </w:p>
    <w:p w14:paraId="239E5A44"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0CF99715" w14:textId="77777777" w:rsidR="000D2B32" w:rsidRDefault="001E0544">
      <w:pPr>
        <w:pStyle w:val="af1"/>
      </w:pPr>
      <w:r>
        <w:t xml:space="preserve">Brief Description of the Technology: </w:t>
      </w:r>
    </w:p>
    <w:p w14:paraId="5E25B2D4" w14:textId="77777777" w:rsidR="000D2B32" w:rsidRDefault="001E0544">
      <w:pPr>
        <w:pStyle w:val="af0"/>
      </w:pPr>
      <w:r>
        <w:t>Infuse™ Bone Graft is a bone graft material designed to promote bone formation at the site of implantation. It consists of two primary components, Recombinant Human Bone Morphogenetic Protein-2 (rhBMP-2) and an Absorbable Collagen Sponge which serves as a delivery matrix and scaffold for bone growth.</w:t>
      </w:r>
    </w:p>
    <w:p w14:paraId="674A63AD" w14:textId="77777777" w:rsidR="000D2B32" w:rsidRDefault="001E0544">
      <w:r>
        <w:br w:type="page"/>
      </w:r>
    </w:p>
    <w:p w14:paraId="2BDEDCEF" w14:textId="77777777" w:rsidR="000D2B32" w:rsidRDefault="000D2B32">
      <w:pPr>
        <w:pStyle w:val="af"/>
      </w:pPr>
    </w:p>
    <w:p w14:paraId="1FCE84AF" w14:textId="77777777" w:rsidR="000D2B32" w:rsidRDefault="001E0544">
      <w:pPr>
        <w:pStyle w:val="af1"/>
      </w:pPr>
      <w:r>
        <w:t>Technology Name</w:t>
      </w:r>
    </w:p>
    <w:p w14:paraId="50C4E878" w14:textId="77777777" w:rsidR="000D2B32" w:rsidRDefault="001E0544">
      <w:pPr>
        <w:pStyle w:val="af0"/>
        <w:ind w:left="720"/>
      </w:pPr>
      <w:r>
        <w:rPr>
          <w:b/>
          <w:bCs/>
          <w:i/>
          <w:iCs/>
        </w:rPr>
        <w:t>Generic Name:</w:t>
      </w:r>
      <w:r>
        <w:t xml:space="preserve"> Orca-T (generic name not yet established)</w:t>
      </w:r>
    </w:p>
    <w:p w14:paraId="2D171498" w14:textId="77777777" w:rsidR="000D2B32" w:rsidRDefault="001E0544">
      <w:pPr>
        <w:pStyle w:val="af0"/>
      </w:pPr>
      <w:r>
        <w:rPr>
          <w:b/>
          <w:bCs/>
        </w:rPr>
        <w:t>Applicant Name:</w:t>
      </w:r>
      <w:r>
        <w:t xml:space="preserve"> Orca Bio</w:t>
      </w:r>
    </w:p>
    <w:p w14:paraId="697DCC41" w14:textId="77777777" w:rsidR="000D2B32" w:rsidRDefault="001E0544">
      <w:pPr>
        <w:pStyle w:val="af0"/>
      </w:pPr>
      <w:r>
        <w:rPr>
          <w:b/>
          <w:bCs/>
        </w:rPr>
        <w:t>Application Pathway:</w:t>
      </w:r>
      <w:r>
        <w:t xml:space="preserve"> Traditional</w:t>
      </w:r>
    </w:p>
    <w:p w14:paraId="1A11CCEE" w14:textId="77777777" w:rsidR="000D2B32" w:rsidRDefault="001E0544">
      <w:pPr>
        <w:pStyle w:val="af1"/>
      </w:pPr>
      <w:r>
        <w:t xml:space="preserve">Brief Description of the Technology: </w:t>
      </w:r>
    </w:p>
    <w:p w14:paraId="37EF8ED8" w14:textId="77777777" w:rsidR="000D2B32" w:rsidRDefault="001E0544">
      <w:pPr>
        <w:pStyle w:val="af0"/>
      </w:pPr>
      <w:r>
        <w:t xml:space="preserve">Orca-T is an  allogeneic stem cell and T-cell immunotherapy under evaluation for the curative treatment of multiple hematologic malignancies. A single dose  is composed of cellular infusions of highly purified regulatory T-cells, </w:t>
      </w:r>
      <w:proofErr w:type="spellStart"/>
      <w:r>
        <w:t>hematopoetic</w:t>
      </w:r>
      <w:proofErr w:type="spellEnd"/>
      <w:r>
        <w:t xml:space="preserve"> stem cells and conventional T-cells sourced from the peripheral blood of an 8/8 HLA-matched donor.</w:t>
      </w:r>
    </w:p>
    <w:p w14:paraId="5BAFE034" w14:textId="77777777" w:rsidR="000D2B32" w:rsidRDefault="000D2B32">
      <w:pPr>
        <w:pStyle w:val="af"/>
      </w:pPr>
    </w:p>
    <w:p w14:paraId="2A629385" w14:textId="77777777" w:rsidR="006D0E4E" w:rsidRDefault="006D0E4E">
      <w:pPr>
        <w:pStyle w:val="af"/>
      </w:pPr>
    </w:p>
    <w:p w14:paraId="0DE2CB5B" w14:textId="77777777" w:rsidR="006D0E4E" w:rsidRDefault="006D0E4E">
      <w:pPr>
        <w:pStyle w:val="af"/>
      </w:pPr>
    </w:p>
    <w:p w14:paraId="26FFAA9C" w14:textId="77777777" w:rsidR="006D0E4E" w:rsidRDefault="006D0E4E">
      <w:pPr>
        <w:pStyle w:val="af"/>
      </w:pPr>
    </w:p>
    <w:p w14:paraId="09C885EF" w14:textId="77777777" w:rsidR="006D0E4E" w:rsidRDefault="006D0E4E">
      <w:pPr>
        <w:pStyle w:val="af"/>
      </w:pPr>
    </w:p>
    <w:p w14:paraId="238FD589" w14:textId="77777777" w:rsidR="006D0E4E" w:rsidRDefault="006D0E4E">
      <w:pPr>
        <w:pStyle w:val="af"/>
      </w:pPr>
    </w:p>
    <w:p w14:paraId="6C92A920" w14:textId="77777777" w:rsidR="006D0E4E" w:rsidRDefault="006D0E4E">
      <w:pPr>
        <w:pStyle w:val="af"/>
      </w:pPr>
    </w:p>
    <w:p w14:paraId="2EAEA96C" w14:textId="77777777" w:rsidR="006D0E4E" w:rsidRDefault="006D0E4E">
      <w:pPr>
        <w:pStyle w:val="af"/>
      </w:pPr>
    </w:p>
    <w:p w14:paraId="749D434A" w14:textId="77777777" w:rsidR="006D0E4E" w:rsidRDefault="006D0E4E">
      <w:pPr>
        <w:pStyle w:val="af"/>
      </w:pPr>
    </w:p>
    <w:p w14:paraId="28D585A9" w14:textId="77777777" w:rsidR="006D0E4E" w:rsidRDefault="006D0E4E">
      <w:pPr>
        <w:pStyle w:val="af"/>
      </w:pPr>
    </w:p>
    <w:p w14:paraId="0E5F0DA8" w14:textId="77777777" w:rsidR="006D0E4E" w:rsidRDefault="006D0E4E">
      <w:pPr>
        <w:pStyle w:val="af"/>
      </w:pPr>
    </w:p>
    <w:p w14:paraId="3FCCFCDB" w14:textId="77777777" w:rsidR="006D0E4E" w:rsidRDefault="006D0E4E">
      <w:pPr>
        <w:pStyle w:val="af"/>
      </w:pPr>
    </w:p>
    <w:p w14:paraId="32EDE2EB" w14:textId="77777777" w:rsidR="006D0E4E" w:rsidRDefault="006D0E4E">
      <w:pPr>
        <w:pStyle w:val="af"/>
      </w:pPr>
    </w:p>
    <w:p w14:paraId="58610BE9" w14:textId="77777777" w:rsidR="006D0E4E" w:rsidRDefault="006D0E4E">
      <w:pPr>
        <w:pStyle w:val="af"/>
      </w:pPr>
    </w:p>
    <w:p w14:paraId="50E23DB8" w14:textId="77777777" w:rsidR="006D0E4E" w:rsidRDefault="006D0E4E">
      <w:pPr>
        <w:pStyle w:val="af"/>
      </w:pPr>
    </w:p>
    <w:p w14:paraId="0477ED07" w14:textId="77777777" w:rsidR="006D0E4E" w:rsidRDefault="006D0E4E">
      <w:pPr>
        <w:pStyle w:val="af"/>
      </w:pPr>
    </w:p>
    <w:p w14:paraId="5691FECD" w14:textId="77777777" w:rsidR="006D0E4E" w:rsidRDefault="006D0E4E">
      <w:pPr>
        <w:pStyle w:val="af"/>
      </w:pPr>
    </w:p>
    <w:p w14:paraId="35CD7A94" w14:textId="77777777" w:rsidR="006D0E4E" w:rsidRDefault="006D0E4E">
      <w:pPr>
        <w:pStyle w:val="af"/>
      </w:pPr>
    </w:p>
    <w:p w14:paraId="20AD683A" w14:textId="77777777" w:rsidR="006D0E4E" w:rsidRDefault="006D0E4E">
      <w:pPr>
        <w:pStyle w:val="af"/>
      </w:pPr>
    </w:p>
    <w:p w14:paraId="64B38845" w14:textId="77777777" w:rsidR="006D0E4E" w:rsidRDefault="006D0E4E">
      <w:pPr>
        <w:pStyle w:val="af"/>
      </w:pPr>
    </w:p>
    <w:p w14:paraId="7C8C1ABD" w14:textId="77777777" w:rsidR="006D0E4E" w:rsidRDefault="006D0E4E">
      <w:pPr>
        <w:pStyle w:val="af"/>
      </w:pPr>
    </w:p>
    <w:p w14:paraId="37648881" w14:textId="77777777" w:rsidR="006D0E4E" w:rsidRDefault="006D0E4E">
      <w:pPr>
        <w:pStyle w:val="af"/>
      </w:pPr>
    </w:p>
    <w:p w14:paraId="67ECCCA0" w14:textId="77777777" w:rsidR="006D0E4E" w:rsidRDefault="006D0E4E">
      <w:pPr>
        <w:pStyle w:val="af"/>
      </w:pPr>
    </w:p>
    <w:p w14:paraId="1177A55C" w14:textId="77777777" w:rsidR="006D0E4E" w:rsidRDefault="006D0E4E">
      <w:pPr>
        <w:pStyle w:val="af"/>
      </w:pPr>
    </w:p>
    <w:p w14:paraId="0842E161" w14:textId="77777777" w:rsidR="006D0E4E" w:rsidRDefault="006D0E4E">
      <w:pPr>
        <w:pStyle w:val="af"/>
      </w:pPr>
    </w:p>
    <w:p w14:paraId="3D9150C1" w14:textId="77777777" w:rsidR="006D0E4E" w:rsidRDefault="006D0E4E">
      <w:pPr>
        <w:pStyle w:val="af"/>
      </w:pPr>
    </w:p>
    <w:p w14:paraId="78656A1B" w14:textId="77777777" w:rsidR="006D0E4E" w:rsidRDefault="006D0E4E">
      <w:pPr>
        <w:pStyle w:val="af"/>
      </w:pPr>
    </w:p>
    <w:p w14:paraId="76250C9C" w14:textId="77777777" w:rsidR="006D0E4E" w:rsidRDefault="006D0E4E">
      <w:pPr>
        <w:pStyle w:val="af"/>
      </w:pPr>
    </w:p>
    <w:p w14:paraId="6AE039DA" w14:textId="77777777" w:rsidR="006D0E4E" w:rsidRDefault="006D0E4E">
      <w:pPr>
        <w:pStyle w:val="af"/>
      </w:pPr>
    </w:p>
    <w:p w14:paraId="3A993903" w14:textId="77777777" w:rsidR="006D0E4E" w:rsidRDefault="006D0E4E">
      <w:pPr>
        <w:pStyle w:val="af"/>
      </w:pPr>
    </w:p>
    <w:p w14:paraId="0D20A222" w14:textId="77777777" w:rsidR="006D0E4E" w:rsidRDefault="006D0E4E">
      <w:pPr>
        <w:pStyle w:val="af"/>
      </w:pPr>
    </w:p>
    <w:p w14:paraId="593AE4F8" w14:textId="77777777" w:rsidR="006D0E4E" w:rsidRDefault="006D0E4E">
      <w:pPr>
        <w:pStyle w:val="af"/>
      </w:pPr>
    </w:p>
    <w:p w14:paraId="1294AD01" w14:textId="77777777" w:rsidR="006D0E4E" w:rsidRDefault="006D0E4E">
      <w:pPr>
        <w:pStyle w:val="af"/>
      </w:pPr>
    </w:p>
    <w:p w14:paraId="42D0A74E" w14:textId="77777777" w:rsidR="006D0E4E" w:rsidRDefault="006D0E4E">
      <w:pPr>
        <w:pStyle w:val="af"/>
      </w:pPr>
    </w:p>
    <w:p w14:paraId="32CE430E" w14:textId="77777777" w:rsidR="006D0E4E" w:rsidRDefault="006D0E4E">
      <w:pPr>
        <w:pStyle w:val="af1"/>
      </w:pPr>
    </w:p>
    <w:p w14:paraId="05392208" w14:textId="59AF3D44" w:rsidR="000D2B32" w:rsidRDefault="001E0544">
      <w:pPr>
        <w:pStyle w:val="af1"/>
      </w:pPr>
      <w:r>
        <w:t>Technology Name</w:t>
      </w:r>
    </w:p>
    <w:p w14:paraId="7BDB3909" w14:textId="77777777" w:rsidR="000D2B32" w:rsidRDefault="001E0544">
      <w:pPr>
        <w:pStyle w:val="af0"/>
        <w:ind w:left="720"/>
      </w:pPr>
      <w:r>
        <w:rPr>
          <w:b/>
          <w:bCs/>
          <w:i/>
          <w:iCs/>
        </w:rPr>
        <w:t>Generic Name:</w:t>
      </w:r>
      <w:r>
        <w:t xml:space="preserve"> </w:t>
      </w:r>
      <w:proofErr w:type="spellStart"/>
      <w:r>
        <w:t>Xanomeline</w:t>
      </w:r>
      <w:proofErr w:type="spellEnd"/>
      <w:r>
        <w:t xml:space="preserve"> and </w:t>
      </w:r>
      <w:proofErr w:type="spellStart"/>
      <w:r>
        <w:t>Trospium</w:t>
      </w:r>
      <w:proofErr w:type="spellEnd"/>
      <w:r>
        <w:t xml:space="preserve"> Chloride</w:t>
      </w:r>
    </w:p>
    <w:p w14:paraId="24280DF3" w14:textId="77777777" w:rsidR="000D2B32" w:rsidRDefault="001E0544">
      <w:pPr>
        <w:pStyle w:val="af0"/>
        <w:ind w:left="720"/>
      </w:pPr>
      <w:r>
        <w:rPr>
          <w:b/>
          <w:bCs/>
          <w:i/>
          <w:iCs/>
        </w:rPr>
        <w:t>Trade Name:</w:t>
      </w:r>
      <w:r>
        <w:t xml:space="preserve"> COBENFY</w:t>
      </w:r>
    </w:p>
    <w:p w14:paraId="2FABEA89" w14:textId="77777777" w:rsidR="000D2B32" w:rsidRDefault="001E0544">
      <w:pPr>
        <w:pStyle w:val="af0"/>
      </w:pPr>
      <w:r>
        <w:rPr>
          <w:b/>
          <w:bCs/>
        </w:rPr>
        <w:t>Applicant Name:</w:t>
      </w:r>
      <w:r>
        <w:t xml:space="preserve"> Bristol Myers Squibb</w:t>
      </w:r>
    </w:p>
    <w:p w14:paraId="715159A4" w14:textId="77777777" w:rsidR="000D2B32" w:rsidRDefault="001E0544">
      <w:pPr>
        <w:pStyle w:val="af0"/>
      </w:pPr>
      <w:r>
        <w:rPr>
          <w:b/>
          <w:bCs/>
        </w:rPr>
        <w:t>Application Pathway:</w:t>
      </w:r>
      <w:r>
        <w:t xml:space="preserve"> Traditional</w:t>
      </w:r>
    </w:p>
    <w:p w14:paraId="58E8DA8B" w14:textId="77777777" w:rsidR="000D2B32" w:rsidRDefault="001E0544">
      <w:pPr>
        <w:pStyle w:val="af1"/>
      </w:pPr>
      <w:r>
        <w:t xml:space="preserve">Brief Description of the Technology: </w:t>
      </w:r>
    </w:p>
    <w:p w14:paraId="7814EAF9" w14:textId="77777777" w:rsidR="000D2B32" w:rsidRDefault="001E0544">
      <w:pPr>
        <w:pStyle w:val="af0"/>
      </w:pPr>
      <w:r>
        <w:t xml:space="preserve">COBENFY is a combination of </w:t>
      </w:r>
      <w:proofErr w:type="spellStart"/>
      <w:r>
        <w:t>xanomeline</w:t>
      </w:r>
      <w:proofErr w:type="spellEnd"/>
      <w:r>
        <w:t xml:space="preserve">, a muscarinic agonist, and </w:t>
      </w:r>
      <w:proofErr w:type="spellStart"/>
      <w:r>
        <w:t>trospium</w:t>
      </w:r>
      <w:proofErr w:type="spellEnd"/>
      <w:r>
        <w:t xml:space="preserve"> chloride, a muscarinic antagonist, indicated for the treatment of schizophrenia in adults. It was approved under a New Drug Application.</w:t>
      </w:r>
    </w:p>
    <w:p w14:paraId="5587428C" w14:textId="77777777" w:rsidR="000D2B32" w:rsidRDefault="001E0544">
      <w:r>
        <w:br w:type="page"/>
      </w:r>
    </w:p>
    <w:p w14:paraId="4110EADF" w14:textId="77777777" w:rsidR="000D2B32" w:rsidRDefault="000D2B32">
      <w:pPr>
        <w:pStyle w:val="af"/>
      </w:pPr>
    </w:p>
    <w:p w14:paraId="410F4A13" w14:textId="77777777" w:rsidR="000D2B32" w:rsidRDefault="001E0544">
      <w:pPr>
        <w:pStyle w:val="af1"/>
      </w:pPr>
      <w:r>
        <w:t>Technology Name</w:t>
      </w:r>
    </w:p>
    <w:p w14:paraId="0299854F" w14:textId="77777777" w:rsidR="000D2B32" w:rsidRDefault="001E0544">
      <w:pPr>
        <w:pStyle w:val="af0"/>
        <w:ind w:left="720"/>
      </w:pPr>
      <w:r>
        <w:rPr>
          <w:b/>
          <w:bCs/>
          <w:i/>
          <w:iCs/>
        </w:rPr>
        <w:t>Generic Name:</w:t>
      </w:r>
      <w:r>
        <w:t xml:space="preserve"> Peripheral Temporary and Retrievable Stent System</w:t>
      </w:r>
    </w:p>
    <w:p w14:paraId="569BE956" w14:textId="77777777" w:rsidR="000D2B32" w:rsidRDefault="001E0544">
      <w:pPr>
        <w:pStyle w:val="af0"/>
        <w:ind w:left="720"/>
      </w:pPr>
      <w:r>
        <w:rPr>
          <w:b/>
          <w:bCs/>
          <w:i/>
          <w:iCs/>
        </w:rPr>
        <w:t>Trade Name:</w:t>
      </w:r>
      <w:r>
        <w:t xml:space="preserve"> Spur Peripheral Retrievable Stent System</w:t>
      </w:r>
    </w:p>
    <w:p w14:paraId="36536695" w14:textId="77777777" w:rsidR="000D2B32" w:rsidRDefault="001E0544">
      <w:pPr>
        <w:pStyle w:val="af0"/>
      </w:pPr>
      <w:r>
        <w:rPr>
          <w:b/>
          <w:bCs/>
        </w:rPr>
        <w:t>Applicant Name:</w:t>
      </w:r>
      <w:r>
        <w:t xml:space="preserve"> Reflow Medical, Inc</w:t>
      </w:r>
    </w:p>
    <w:p w14:paraId="3893208C" w14:textId="77777777" w:rsidR="000D2B32" w:rsidRDefault="001E0544">
      <w:pPr>
        <w:pStyle w:val="af0"/>
      </w:pPr>
      <w:r>
        <w:rPr>
          <w:b/>
          <w:bCs/>
        </w:rPr>
        <w:t>Application Pathway:</w:t>
      </w:r>
      <w:r>
        <w:t xml:space="preserve"> Alternative</w:t>
      </w:r>
    </w:p>
    <w:p w14:paraId="7F545A18"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6211569C" w14:textId="77777777" w:rsidR="000D2B32" w:rsidRDefault="001E0544">
      <w:pPr>
        <w:pStyle w:val="af1"/>
      </w:pPr>
      <w:r>
        <w:t xml:space="preserve">Brief Description of the Technology: </w:t>
      </w:r>
    </w:p>
    <w:p w14:paraId="4E347D4E" w14:textId="77777777" w:rsidR="000D2B32" w:rsidRDefault="001E0544">
      <w:pPr>
        <w:pStyle w:val="af0"/>
      </w:pPr>
      <w:r>
        <w:t xml:space="preserve">The Spur® Peripheral Retrievable Stent System is intended as an adjunct to percutaneous transluminal angioplasty (PTA) to dilate stenoses in </w:t>
      </w:r>
      <w:proofErr w:type="spellStart"/>
      <w:r>
        <w:t>infrapopliteal</w:t>
      </w:r>
      <w:proofErr w:type="spellEnd"/>
      <w:r>
        <w:t xml:space="preserve"> arteries ranging in diameter from 2.5 mm to 4.5 mm.</w:t>
      </w:r>
    </w:p>
    <w:p w14:paraId="4EB802FC" w14:textId="77777777" w:rsidR="000D2B32" w:rsidRDefault="001E0544">
      <w:r>
        <w:br w:type="page"/>
      </w:r>
    </w:p>
    <w:p w14:paraId="04575BBC" w14:textId="77777777" w:rsidR="000D2B32" w:rsidRDefault="000D2B32">
      <w:pPr>
        <w:pStyle w:val="af"/>
      </w:pPr>
    </w:p>
    <w:p w14:paraId="2666FB23" w14:textId="77777777" w:rsidR="000D2B32" w:rsidRDefault="001E0544">
      <w:pPr>
        <w:pStyle w:val="af1"/>
      </w:pPr>
      <w:r>
        <w:t>Technology Name</w:t>
      </w:r>
    </w:p>
    <w:p w14:paraId="57BD3E43" w14:textId="77777777" w:rsidR="000D2B32" w:rsidRDefault="001E0544">
      <w:pPr>
        <w:pStyle w:val="af0"/>
        <w:ind w:left="720"/>
      </w:pPr>
      <w:r>
        <w:rPr>
          <w:b/>
          <w:bCs/>
          <w:i/>
          <w:iCs/>
        </w:rPr>
        <w:t>Generic Name:</w:t>
      </w:r>
      <w:r>
        <w:t xml:space="preserve"> N/A</w:t>
      </w:r>
    </w:p>
    <w:p w14:paraId="120A744C" w14:textId="77777777" w:rsidR="000D2B32" w:rsidRDefault="001E0544">
      <w:pPr>
        <w:pStyle w:val="af0"/>
        <w:ind w:left="720"/>
      </w:pPr>
      <w:r>
        <w:rPr>
          <w:b/>
          <w:bCs/>
          <w:i/>
          <w:iCs/>
        </w:rPr>
        <w:t>Trade Name:</w:t>
      </w:r>
      <w:r>
        <w:t xml:space="preserve"> </w:t>
      </w:r>
      <w:proofErr w:type="spellStart"/>
      <w:r>
        <w:t>BriefCase</w:t>
      </w:r>
      <w:proofErr w:type="spellEnd"/>
      <w:r>
        <w:t>-Triage CARE Multi-triage CT Body</w:t>
      </w:r>
    </w:p>
    <w:p w14:paraId="361C46ED" w14:textId="77777777" w:rsidR="000D2B32" w:rsidRDefault="001E0544">
      <w:pPr>
        <w:pStyle w:val="af0"/>
      </w:pPr>
      <w:r>
        <w:rPr>
          <w:b/>
          <w:bCs/>
        </w:rPr>
        <w:t>Applicant Name:</w:t>
      </w:r>
      <w:r>
        <w:t xml:space="preserve"> </w:t>
      </w:r>
      <w:proofErr w:type="spellStart"/>
      <w:r>
        <w:t>Aidoc</w:t>
      </w:r>
      <w:proofErr w:type="spellEnd"/>
      <w:r>
        <w:t xml:space="preserve"> Medical Ltd., Inc.</w:t>
      </w:r>
    </w:p>
    <w:p w14:paraId="75D9B83A" w14:textId="77777777" w:rsidR="000D2B32" w:rsidRDefault="001E0544">
      <w:pPr>
        <w:pStyle w:val="af0"/>
      </w:pPr>
      <w:r>
        <w:rPr>
          <w:b/>
          <w:bCs/>
        </w:rPr>
        <w:t>Application Pathway:</w:t>
      </w:r>
      <w:r>
        <w:t xml:space="preserve"> Alternative</w:t>
      </w:r>
    </w:p>
    <w:p w14:paraId="3C7D89DF"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371F1325" w14:textId="77777777" w:rsidR="000D2B32" w:rsidRDefault="001E0544">
      <w:pPr>
        <w:pStyle w:val="af1"/>
      </w:pPr>
      <w:r>
        <w:t xml:space="preserve">Brief Description of the Technology: </w:t>
      </w:r>
    </w:p>
    <w:p w14:paraId="3E2E31D5" w14:textId="77777777" w:rsidR="000D2B32" w:rsidRDefault="001E0544">
      <w:pPr>
        <w:pStyle w:val="af0"/>
      </w:pPr>
      <w:proofErr w:type="spellStart"/>
      <w:r>
        <w:t>BriefCase</w:t>
      </w:r>
      <w:proofErr w:type="spellEnd"/>
      <w:r>
        <w:t>-Triage: CARE Multi-Triage CT Body is a single-model, 11-clinical indication radiological triage device. Its purpose is to flag and communicate suspected positive findings for a wide range of clinically actionable, time-sensitive conditions in the abdominopelvic region.</w:t>
      </w:r>
    </w:p>
    <w:p w14:paraId="0D3A857C" w14:textId="77777777" w:rsidR="000D2B32" w:rsidRDefault="001E0544">
      <w:r>
        <w:br w:type="page"/>
      </w:r>
    </w:p>
    <w:p w14:paraId="29C4D112" w14:textId="77777777" w:rsidR="000D2B32" w:rsidRDefault="000D2B32">
      <w:pPr>
        <w:pStyle w:val="af"/>
      </w:pPr>
    </w:p>
    <w:p w14:paraId="7E95775A" w14:textId="77777777" w:rsidR="000D2B32" w:rsidRDefault="001E0544">
      <w:pPr>
        <w:pStyle w:val="af1"/>
      </w:pPr>
      <w:r>
        <w:t>Technology Name</w:t>
      </w:r>
    </w:p>
    <w:p w14:paraId="4710B367" w14:textId="77777777" w:rsidR="000D2B32" w:rsidRDefault="001E0544">
      <w:pPr>
        <w:pStyle w:val="af0"/>
        <w:ind w:left="720"/>
      </w:pPr>
      <w:r>
        <w:rPr>
          <w:b/>
          <w:bCs/>
          <w:i/>
          <w:iCs/>
        </w:rPr>
        <w:t>Trade Name:</w:t>
      </w:r>
      <w:r>
        <w:t xml:space="preserve"> XT3 System</w:t>
      </w:r>
    </w:p>
    <w:p w14:paraId="66BF4C0F" w14:textId="77777777" w:rsidR="000D2B32" w:rsidRDefault="001E0544">
      <w:pPr>
        <w:pStyle w:val="af0"/>
      </w:pPr>
      <w:r>
        <w:rPr>
          <w:b/>
          <w:bCs/>
        </w:rPr>
        <w:t>Applicant Name:</w:t>
      </w:r>
      <w:r>
        <w:t xml:space="preserve"> Biodynamik, Inc</w:t>
      </w:r>
    </w:p>
    <w:p w14:paraId="53D5CCE4" w14:textId="77777777" w:rsidR="000D2B32" w:rsidRDefault="001E0544">
      <w:pPr>
        <w:pStyle w:val="af0"/>
      </w:pPr>
      <w:r>
        <w:rPr>
          <w:b/>
          <w:bCs/>
        </w:rPr>
        <w:t>Application Pathway:</w:t>
      </w:r>
      <w:r>
        <w:t xml:space="preserve"> Alternative</w:t>
      </w:r>
    </w:p>
    <w:p w14:paraId="4C2220D1"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451D189" w14:textId="77777777" w:rsidR="000D2B32" w:rsidRDefault="001E0544">
      <w:pPr>
        <w:pStyle w:val="af1"/>
      </w:pPr>
      <w:r>
        <w:t xml:space="preserve">Brief Description of the Technology: </w:t>
      </w:r>
    </w:p>
    <w:p w14:paraId="61E045EA" w14:textId="77777777" w:rsidR="000D2B32" w:rsidRDefault="001E0544">
      <w:pPr>
        <w:pStyle w:val="af0"/>
      </w:pPr>
      <w:r>
        <w:t xml:space="preserve">The Biodynamik XT3 System is an automated </w:t>
      </w:r>
      <w:proofErr w:type="spellStart"/>
      <w:r>
        <w:t>osteodistraction</w:t>
      </w:r>
      <w:proofErr w:type="spellEnd"/>
      <w:r>
        <w:t xml:space="preserve"> system for performing transverse bone distraction procedure to trigger angiogenesis and improve perfusion for healing and limb salvage of ischemic chronic wounds.</w:t>
      </w:r>
    </w:p>
    <w:p w14:paraId="73E71758" w14:textId="77777777" w:rsidR="000D2B32" w:rsidRDefault="001E0544">
      <w:r>
        <w:br w:type="page"/>
      </w:r>
    </w:p>
    <w:p w14:paraId="0377760C" w14:textId="77777777" w:rsidR="000D2B32" w:rsidRDefault="000D2B32">
      <w:pPr>
        <w:pStyle w:val="af"/>
      </w:pPr>
    </w:p>
    <w:p w14:paraId="18F84D34" w14:textId="77777777" w:rsidR="000D2B32" w:rsidRDefault="001E0544">
      <w:pPr>
        <w:pStyle w:val="af1"/>
      </w:pPr>
      <w:r>
        <w:t>Technology Name</w:t>
      </w:r>
    </w:p>
    <w:p w14:paraId="08B68921" w14:textId="77777777" w:rsidR="000D2B32" w:rsidRDefault="001E0544">
      <w:pPr>
        <w:pStyle w:val="af0"/>
        <w:ind w:left="720"/>
      </w:pPr>
      <w:r>
        <w:rPr>
          <w:b/>
          <w:bCs/>
          <w:i/>
          <w:iCs/>
        </w:rPr>
        <w:t>Generic Name:</w:t>
      </w:r>
      <w:r>
        <w:t xml:space="preserve"> Not applicable</w:t>
      </w:r>
    </w:p>
    <w:p w14:paraId="5DB7642B" w14:textId="77777777" w:rsidR="000D2B32" w:rsidRDefault="001E0544">
      <w:pPr>
        <w:pStyle w:val="af0"/>
        <w:ind w:left="720"/>
      </w:pPr>
      <w:r>
        <w:rPr>
          <w:b/>
          <w:bCs/>
          <w:i/>
          <w:iCs/>
        </w:rPr>
        <w:t>Trade Name:</w:t>
      </w:r>
      <w:r>
        <w:t xml:space="preserve"> Nelli Seizure Monitoring System</w:t>
      </w:r>
    </w:p>
    <w:p w14:paraId="5F8AB3C4" w14:textId="77777777" w:rsidR="000D2B32" w:rsidRDefault="001E0544">
      <w:pPr>
        <w:pStyle w:val="af0"/>
      </w:pPr>
      <w:r>
        <w:rPr>
          <w:b/>
          <w:bCs/>
        </w:rPr>
        <w:t>Applicant Name:</w:t>
      </w:r>
      <w:r>
        <w:t xml:space="preserve"> Neuro Event Labs</w:t>
      </w:r>
    </w:p>
    <w:p w14:paraId="671F407D" w14:textId="77777777" w:rsidR="000D2B32" w:rsidRDefault="001E0544">
      <w:pPr>
        <w:pStyle w:val="af0"/>
      </w:pPr>
      <w:r>
        <w:rPr>
          <w:b/>
          <w:bCs/>
        </w:rPr>
        <w:t>Application Pathway:</w:t>
      </w:r>
      <w:r>
        <w:t xml:space="preserve"> Alternative</w:t>
      </w:r>
    </w:p>
    <w:p w14:paraId="34F9F6E5"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74816FDA" w14:textId="77777777" w:rsidR="000D2B32" w:rsidRDefault="001E0544">
      <w:pPr>
        <w:pStyle w:val="af1"/>
      </w:pPr>
      <w:r>
        <w:t xml:space="preserve">Brief Description of the Technology: </w:t>
      </w:r>
    </w:p>
    <w:p w14:paraId="24ACF509" w14:textId="77777777" w:rsidR="000D2B32" w:rsidRDefault="001E0544">
      <w:pPr>
        <w:pStyle w:val="af0"/>
      </w:pPr>
      <w:r>
        <w:t>Nelli is a prescription-only device that is designed to be used as an adjunct to seizure monitoring in healthcare facilities during periods of rest. The device utilizes automated analysis of audio and video (media) to identify epileptic and non-epileptic seizure events with a positive motor component.</w:t>
      </w:r>
    </w:p>
    <w:p w14:paraId="1A41110B" w14:textId="77777777" w:rsidR="000D2B32" w:rsidRDefault="001E0544">
      <w:r>
        <w:br w:type="page"/>
      </w:r>
    </w:p>
    <w:p w14:paraId="4D37A45E" w14:textId="77777777" w:rsidR="000D2B32" w:rsidRDefault="000D2B32">
      <w:pPr>
        <w:pStyle w:val="af"/>
      </w:pPr>
    </w:p>
    <w:p w14:paraId="6AA98E07" w14:textId="77777777" w:rsidR="000D2B32" w:rsidRDefault="001E0544">
      <w:pPr>
        <w:pStyle w:val="af1"/>
      </w:pPr>
      <w:r>
        <w:t>Technology Name</w:t>
      </w:r>
    </w:p>
    <w:p w14:paraId="05BA8142" w14:textId="77777777" w:rsidR="000D2B32" w:rsidRDefault="001E0544">
      <w:pPr>
        <w:pStyle w:val="af0"/>
        <w:ind w:left="720"/>
      </w:pPr>
      <w:r>
        <w:rPr>
          <w:b/>
          <w:bCs/>
          <w:i/>
          <w:iCs/>
        </w:rPr>
        <w:t>Generic Name:</w:t>
      </w:r>
      <w:r>
        <w:t xml:space="preserve"> </w:t>
      </w:r>
      <w:proofErr w:type="spellStart"/>
      <w:r>
        <w:t>emapalumab-lzsg</w:t>
      </w:r>
      <w:proofErr w:type="spellEnd"/>
    </w:p>
    <w:p w14:paraId="5EFD64DE" w14:textId="77777777" w:rsidR="000D2B32" w:rsidRDefault="001E0544">
      <w:pPr>
        <w:pStyle w:val="af0"/>
        <w:ind w:left="720"/>
      </w:pPr>
      <w:r>
        <w:rPr>
          <w:b/>
          <w:bCs/>
          <w:i/>
          <w:iCs/>
        </w:rPr>
        <w:t>Trade Name:</w:t>
      </w:r>
      <w:r>
        <w:t xml:space="preserve"> GAMIFANT</w:t>
      </w:r>
    </w:p>
    <w:p w14:paraId="3A1372B7" w14:textId="77777777" w:rsidR="000D2B32" w:rsidRDefault="001E0544">
      <w:pPr>
        <w:pStyle w:val="af0"/>
      </w:pPr>
      <w:r>
        <w:rPr>
          <w:b/>
          <w:bCs/>
        </w:rPr>
        <w:t>Applicant Name:</w:t>
      </w:r>
      <w:r>
        <w:t xml:space="preserve"> Sobi, Inc.</w:t>
      </w:r>
    </w:p>
    <w:p w14:paraId="172496B2" w14:textId="77777777" w:rsidR="000D2B32" w:rsidRDefault="001E0544">
      <w:pPr>
        <w:pStyle w:val="af0"/>
      </w:pPr>
      <w:r>
        <w:rPr>
          <w:b/>
          <w:bCs/>
        </w:rPr>
        <w:t>Application Pathway:</w:t>
      </w:r>
      <w:r>
        <w:t xml:space="preserve"> Traditional</w:t>
      </w:r>
    </w:p>
    <w:p w14:paraId="71B5F7B0" w14:textId="77777777" w:rsidR="000D2B32" w:rsidRDefault="001E0544">
      <w:pPr>
        <w:pStyle w:val="af1"/>
      </w:pPr>
      <w:r>
        <w:t xml:space="preserve">Brief Description of the Technology: </w:t>
      </w:r>
    </w:p>
    <w:p w14:paraId="6CEC10A6" w14:textId="77777777" w:rsidR="000D2B32" w:rsidRDefault="001E0544">
      <w:pPr>
        <w:pStyle w:val="af0"/>
      </w:pPr>
      <w:r>
        <w:t>GAMIFANT® (</w:t>
      </w:r>
      <w:proofErr w:type="spellStart"/>
      <w:r>
        <w:t>emapalumab-lzsg</w:t>
      </w:r>
      <w:proofErr w:type="spellEnd"/>
      <w:r>
        <w:t xml:space="preserve">) is now approved for the treatment of adult and pediatric patients with hemophagocytic </w:t>
      </w:r>
      <w:proofErr w:type="spellStart"/>
      <w:r>
        <w:t>lymphohistiocytosis</w:t>
      </w:r>
      <w:proofErr w:type="spellEnd"/>
      <w:r>
        <w:t xml:space="preserve"> (HLH)/macrophage activation syndrome (MAS) in known or suspected Still’s disease, including systemic Juvenile Idiopathic Arthritis, with an inadequate response or intolerance to glucocorticoids, or with recurrent MAS</w:t>
      </w:r>
    </w:p>
    <w:p w14:paraId="374797EE" w14:textId="77777777" w:rsidR="000D2B32" w:rsidRDefault="001E0544">
      <w:r>
        <w:br w:type="page"/>
      </w:r>
    </w:p>
    <w:p w14:paraId="509C6764" w14:textId="77777777" w:rsidR="000D2B32" w:rsidRDefault="000D2B32">
      <w:pPr>
        <w:pStyle w:val="af"/>
      </w:pPr>
    </w:p>
    <w:p w14:paraId="1B3750AE" w14:textId="77777777" w:rsidR="000D2B32" w:rsidRDefault="001E0544">
      <w:pPr>
        <w:pStyle w:val="af1"/>
      </w:pPr>
      <w:r>
        <w:t>Technology Name</w:t>
      </w:r>
    </w:p>
    <w:p w14:paraId="341EE586" w14:textId="77777777" w:rsidR="000D2B32" w:rsidRDefault="001E0544">
      <w:pPr>
        <w:pStyle w:val="af0"/>
        <w:ind w:left="720"/>
      </w:pPr>
      <w:r>
        <w:rPr>
          <w:b/>
          <w:bCs/>
          <w:i/>
          <w:iCs/>
        </w:rPr>
        <w:t>Generic Name:</w:t>
      </w:r>
      <w:r>
        <w:t xml:space="preserve"> </w:t>
      </w:r>
      <w:proofErr w:type="spellStart"/>
      <w:r>
        <w:t>Ceribell</w:t>
      </w:r>
      <w:proofErr w:type="spellEnd"/>
      <w:r>
        <w:t xml:space="preserve"> Delirium Monitor System</w:t>
      </w:r>
    </w:p>
    <w:p w14:paraId="20581601" w14:textId="77777777" w:rsidR="000D2B32" w:rsidRDefault="001E0544">
      <w:pPr>
        <w:pStyle w:val="af0"/>
        <w:ind w:left="720"/>
      </w:pPr>
      <w:r>
        <w:rPr>
          <w:b/>
          <w:bCs/>
          <w:i/>
          <w:iCs/>
        </w:rPr>
        <w:t>Trade Name:</w:t>
      </w:r>
      <w:r>
        <w:t xml:space="preserve"> </w:t>
      </w:r>
      <w:proofErr w:type="spellStart"/>
      <w:r>
        <w:t>Ceribell</w:t>
      </w:r>
      <w:proofErr w:type="spellEnd"/>
      <w:r>
        <w:t xml:space="preserve"> Delirium Monitor System</w:t>
      </w:r>
    </w:p>
    <w:p w14:paraId="6E50F369" w14:textId="77777777" w:rsidR="000D2B32" w:rsidRDefault="001E0544">
      <w:pPr>
        <w:pStyle w:val="af0"/>
      </w:pPr>
      <w:r>
        <w:rPr>
          <w:b/>
          <w:bCs/>
        </w:rPr>
        <w:t>Applicant Name:</w:t>
      </w:r>
      <w:r>
        <w:t xml:space="preserve"> </w:t>
      </w:r>
      <w:proofErr w:type="spellStart"/>
      <w:r>
        <w:t>Ceribell</w:t>
      </w:r>
      <w:proofErr w:type="spellEnd"/>
      <w:r>
        <w:t>, Inc.</w:t>
      </w:r>
    </w:p>
    <w:p w14:paraId="3296F530" w14:textId="77777777" w:rsidR="000D2B32" w:rsidRDefault="001E0544">
      <w:pPr>
        <w:pStyle w:val="af0"/>
      </w:pPr>
      <w:r>
        <w:rPr>
          <w:b/>
          <w:bCs/>
        </w:rPr>
        <w:t>Application Pathway:</w:t>
      </w:r>
      <w:r>
        <w:t xml:space="preserve"> Alternative</w:t>
      </w:r>
    </w:p>
    <w:p w14:paraId="6448F798"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5E4F7528" w14:textId="77777777" w:rsidR="000D2B32" w:rsidRDefault="001E0544">
      <w:pPr>
        <w:pStyle w:val="af1"/>
      </w:pPr>
      <w:r>
        <w:t xml:space="preserve">Brief Description of the Technology: </w:t>
      </w:r>
    </w:p>
    <w:p w14:paraId="294E71CC" w14:textId="77777777" w:rsidR="000D2B32" w:rsidRDefault="001E0544">
      <w:pPr>
        <w:pStyle w:val="af0"/>
      </w:pPr>
      <w:r>
        <w:t xml:space="preserve">The </w:t>
      </w:r>
      <w:proofErr w:type="spellStart"/>
      <w:r>
        <w:t>Ceribell</w:t>
      </w:r>
      <w:proofErr w:type="spellEnd"/>
      <w:r>
        <w:t xml:space="preserve"> Delirium Monitor System is a medical device system comprised of proprietary software, signal acquisition headbands and a recorder. The software utilizes a machine learning model to analyze EEG signals to detect features indicative of delirium in order to provide more effective diagnosis of delirium.</w:t>
      </w:r>
    </w:p>
    <w:p w14:paraId="41707906" w14:textId="77777777" w:rsidR="000D2B32" w:rsidRDefault="001E0544">
      <w:r>
        <w:br w:type="page"/>
      </w:r>
    </w:p>
    <w:p w14:paraId="12DFB3D3" w14:textId="77777777" w:rsidR="000D2B32" w:rsidRDefault="000D2B32">
      <w:pPr>
        <w:pStyle w:val="af"/>
      </w:pPr>
    </w:p>
    <w:p w14:paraId="2B02548F" w14:textId="77777777" w:rsidR="000D2B32" w:rsidRDefault="001E0544">
      <w:pPr>
        <w:pStyle w:val="af1"/>
      </w:pPr>
      <w:r>
        <w:t>Technology Name</w:t>
      </w:r>
    </w:p>
    <w:p w14:paraId="1372C08D" w14:textId="77777777" w:rsidR="000D2B32" w:rsidRDefault="001E0544">
      <w:pPr>
        <w:pStyle w:val="af0"/>
        <w:ind w:left="720"/>
      </w:pPr>
      <w:r>
        <w:rPr>
          <w:b/>
          <w:bCs/>
          <w:i/>
          <w:iCs/>
        </w:rPr>
        <w:t>Generic Name:</w:t>
      </w:r>
      <w:r>
        <w:t xml:space="preserve"> </w:t>
      </w:r>
      <w:proofErr w:type="spellStart"/>
      <w:r>
        <w:t>narsoplimab-wuug</w:t>
      </w:r>
      <w:proofErr w:type="spellEnd"/>
    </w:p>
    <w:p w14:paraId="3451A974" w14:textId="77777777" w:rsidR="000D2B32" w:rsidRDefault="001E0544">
      <w:pPr>
        <w:pStyle w:val="af0"/>
        <w:ind w:left="720"/>
      </w:pPr>
      <w:r>
        <w:rPr>
          <w:b/>
          <w:bCs/>
          <w:i/>
          <w:iCs/>
        </w:rPr>
        <w:t>Trade Name:</w:t>
      </w:r>
      <w:r>
        <w:t xml:space="preserve"> none</w:t>
      </w:r>
    </w:p>
    <w:p w14:paraId="3BDEA4E0" w14:textId="77777777" w:rsidR="000D2B32" w:rsidRDefault="001E0544">
      <w:pPr>
        <w:pStyle w:val="af0"/>
      </w:pPr>
      <w:r>
        <w:rPr>
          <w:b/>
          <w:bCs/>
        </w:rPr>
        <w:t>Applicant Name:</w:t>
      </w:r>
      <w:r>
        <w:t xml:space="preserve"> </w:t>
      </w:r>
      <w:proofErr w:type="spellStart"/>
      <w:r>
        <w:t>Omeros</w:t>
      </w:r>
      <w:proofErr w:type="spellEnd"/>
      <w:r>
        <w:t xml:space="preserve"> Corporation</w:t>
      </w:r>
    </w:p>
    <w:p w14:paraId="67680821" w14:textId="77777777" w:rsidR="000D2B32" w:rsidRDefault="001E0544">
      <w:pPr>
        <w:pStyle w:val="af0"/>
      </w:pPr>
      <w:r>
        <w:rPr>
          <w:b/>
          <w:bCs/>
        </w:rPr>
        <w:t>Application Pathway:</w:t>
      </w:r>
      <w:r>
        <w:t xml:space="preserve"> Traditional</w:t>
      </w:r>
    </w:p>
    <w:p w14:paraId="1D0CC344" w14:textId="77777777" w:rsidR="000D2B32" w:rsidRDefault="001E0544">
      <w:pPr>
        <w:pStyle w:val="af1"/>
      </w:pPr>
      <w:r>
        <w:t xml:space="preserve">Brief Description of the Technology: </w:t>
      </w:r>
    </w:p>
    <w:p w14:paraId="0DABC30D" w14:textId="77777777" w:rsidR="000D2B32" w:rsidRDefault="001E0544">
      <w:pPr>
        <w:pStyle w:val="af0"/>
      </w:pPr>
      <w:proofErr w:type="spellStart"/>
      <w:r>
        <w:t>Narsoplimab</w:t>
      </w:r>
      <w:proofErr w:type="spellEnd"/>
      <w:r>
        <w:t xml:space="preserve"> is a fully human monoclonal antibody targeting MASP-2, the effector enzyme of the lectin pathway of complement. By inhibiting MASP-2, </w:t>
      </w:r>
      <w:proofErr w:type="spellStart"/>
      <w:r>
        <w:t>narsoplimab</w:t>
      </w:r>
      <w:proofErr w:type="spellEnd"/>
      <w:r>
        <w:t xml:space="preserve"> blocks lectin pathway activation, preventing inflammation and providing anticoagulant effects, while preserving the functions of the complement system’s classical and alternative pathways.</w:t>
      </w:r>
    </w:p>
    <w:p w14:paraId="116677CF" w14:textId="77777777" w:rsidR="000D2B32" w:rsidRDefault="001E0544">
      <w:r>
        <w:br w:type="page"/>
      </w:r>
    </w:p>
    <w:p w14:paraId="230EE883" w14:textId="77777777" w:rsidR="000D2B32" w:rsidRDefault="000D2B32">
      <w:pPr>
        <w:pStyle w:val="af"/>
      </w:pPr>
    </w:p>
    <w:p w14:paraId="0DFAB8CB" w14:textId="77777777" w:rsidR="000D2B32" w:rsidRDefault="001E0544">
      <w:pPr>
        <w:pStyle w:val="af1"/>
      </w:pPr>
      <w:r>
        <w:t>Technology Name</w:t>
      </w:r>
    </w:p>
    <w:p w14:paraId="668FF6FF" w14:textId="77777777" w:rsidR="000D2B32" w:rsidRDefault="001E0544">
      <w:pPr>
        <w:pStyle w:val="af0"/>
        <w:ind w:left="720"/>
      </w:pPr>
      <w:r>
        <w:rPr>
          <w:b/>
          <w:bCs/>
          <w:i/>
          <w:iCs/>
        </w:rPr>
        <w:t>Trade Name:</w:t>
      </w:r>
      <w:r>
        <w:t xml:space="preserve"> CERAMENT® V</w:t>
      </w:r>
    </w:p>
    <w:p w14:paraId="3C0377C4" w14:textId="77777777" w:rsidR="000D2B32" w:rsidRDefault="001E0544">
      <w:pPr>
        <w:pStyle w:val="af0"/>
      </w:pPr>
      <w:r>
        <w:rPr>
          <w:b/>
          <w:bCs/>
        </w:rPr>
        <w:t>Applicant Name:</w:t>
      </w:r>
      <w:r>
        <w:t xml:space="preserve"> BONESUPPORT Inc</w:t>
      </w:r>
    </w:p>
    <w:p w14:paraId="6C167FF4" w14:textId="77777777" w:rsidR="000D2B32" w:rsidRDefault="001E0544">
      <w:pPr>
        <w:pStyle w:val="af0"/>
      </w:pPr>
      <w:r>
        <w:rPr>
          <w:b/>
          <w:bCs/>
        </w:rPr>
        <w:t>Application Pathway:</w:t>
      </w:r>
      <w:r>
        <w:t xml:space="preserve"> Alternative</w:t>
      </w:r>
    </w:p>
    <w:p w14:paraId="3637A71B" w14:textId="77777777" w:rsidR="000D2B32" w:rsidRDefault="001E0544">
      <w:pPr>
        <w:pStyle w:val="af0"/>
      </w:pPr>
      <w:r>
        <w:rPr>
          <w:b/>
          <w:bCs/>
        </w:rPr>
        <w:t>Has the technology already received a Breakthrough Device/QIDP designation or LPAD approval from FDA for the indication relevant to this application?</w:t>
      </w:r>
      <w:r>
        <w:t xml:space="preserve"> Yes</w:t>
      </w:r>
    </w:p>
    <w:p w14:paraId="10128D34" w14:textId="77777777" w:rsidR="000D2B32" w:rsidRDefault="001E0544">
      <w:pPr>
        <w:pStyle w:val="af1"/>
      </w:pPr>
      <w:r>
        <w:t xml:space="preserve">Brief Description of the Technology: </w:t>
      </w:r>
    </w:p>
    <w:p w14:paraId="0265A63E" w14:textId="6076651A" w:rsidR="000D2B32" w:rsidRDefault="001E0544" w:rsidP="00F955B7">
      <w:r>
        <w:t>CERAMENT V is a resorbable, vancomycin-eluting ceramic bone graft substitute intended for use as a bone void filler as an adjunct to systemic antibiotic therapy and surgical debridement as part of the surgical treatment of osteomyelitis. CERAMENT V is indicated for use on vancomycin-sensitive microorganisms.</w:t>
      </w:r>
    </w:p>
    <w:sectPr w:rsidR="000D2B3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1A44" w14:textId="77777777" w:rsidR="001E0544" w:rsidRDefault="001E0544">
      <w:r>
        <w:separator/>
      </w:r>
    </w:p>
  </w:endnote>
  <w:endnote w:type="continuationSeparator" w:id="0">
    <w:p w14:paraId="6E274649" w14:textId="77777777" w:rsidR="001E0544" w:rsidRDefault="001E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4D5F" w14:textId="77777777" w:rsidR="000D2B32" w:rsidRDefault="001E0544">
    <w:pPr>
      <w:pStyle w:val="af2"/>
    </w:pPr>
    <w:r>
      <w:rPr>
        <w:b/>
        <w:bCs/>
      </w:rPr>
      <w:t>Note:</w:t>
    </w:r>
    <w:r>
      <w:t xml:space="preserve"> The information on this tracking form was provided by the applicant at the time of application submission.</w:t>
    </w:r>
  </w:p>
  <w:p w14:paraId="04F52A1B" w14:textId="77777777" w:rsidR="000D2B32" w:rsidRDefault="001E0544">
    <w:pPr>
      <w:pStyle w:val="af2"/>
      <w:jc w:val="center"/>
    </w:pPr>
    <w:r>
      <w:t xml:space="preserve">Page </w:t>
    </w:r>
    <w:r>
      <w:rPr>
        <w:b/>
        <w:bCs/>
      </w:rPr>
      <w:fldChar w:fldCharType="begin"/>
    </w:r>
    <w:r>
      <w:rPr>
        <w:b/>
        <w:bCs/>
      </w:rPr>
      <w:instrText>PAGE</w:instrText>
    </w:r>
    <w:r>
      <w:rPr>
        <w:b/>
        <w:bCs/>
      </w:rPr>
      <w:fldChar w:fldCharType="separate"/>
    </w:r>
    <w:r w:rsidR="000E5825">
      <w:rPr>
        <w:b/>
        <w:bCs/>
        <w:noProof/>
      </w:rPr>
      <w:t>1</w:t>
    </w:r>
    <w:r>
      <w:rPr>
        <w:b/>
        <w:bCs/>
      </w:rPr>
      <w:fldChar w:fldCharType="end"/>
    </w:r>
    <w:r>
      <w:t xml:space="preserve"> of </w:t>
    </w:r>
    <w:r>
      <w:rPr>
        <w:b/>
        <w:bCs/>
      </w:rPr>
      <w:fldChar w:fldCharType="begin"/>
    </w:r>
    <w:r>
      <w:rPr>
        <w:b/>
        <w:bCs/>
      </w:rPr>
      <w:instrText>NUMPAGES</w:instrText>
    </w:r>
    <w:r>
      <w:rPr>
        <w:b/>
        <w:bCs/>
      </w:rPr>
      <w:fldChar w:fldCharType="separate"/>
    </w:r>
    <w:r w:rsidR="000E582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7D3F" w14:textId="77777777" w:rsidR="001E0544" w:rsidRDefault="001E0544">
      <w:r>
        <w:separator/>
      </w:r>
    </w:p>
  </w:footnote>
  <w:footnote w:type="continuationSeparator" w:id="0">
    <w:p w14:paraId="271FF9BA" w14:textId="77777777" w:rsidR="001E0544" w:rsidRDefault="001E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 w:type="auto"/>
      <w:tblBorders>
        <w:top w:val="nil"/>
        <w:left w:val="nil"/>
        <w:bottom w:val="single" w:sz="2" w:space="0" w:color="000000"/>
        <w:right w:val="nil"/>
        <w:insideH w:val="single" w:sz="4" w:space="0" w:color="auto"/>
        <w:insideV w:val="single" w:sz="4" w:space="0" w:color="auto"/>
      </w:tblBorders>
      <w:tblCellMar>
        <w:top w:w="100" w:type="dxa"/>
        <w:left w:w="0" w:type="dxa"/>
        <w:bottom w:w="400" w:type="dxa"/>
        <w:right w:w="0" w:type="dxa"/>
      </w:tblCellMar>
      <w:tblLook w:val="0000" w:firstRow="0" w:lastRow="0" w:firstColumn="0" w:lastColumn="0" w:noHBand="0" w:noVBand="0"/>
    </w:tblPr>
    <w:tblGrid>
      <w:gridCol w:w="5500"/>
      <w:gridCol w:w="3000"/>
    </w:tblGrid>
    <w:tr w:rsidR="000D2B32" w14:paraId="1733FC81" w14:textId="77777777">
      <w:tc>
        <w:tcPr>
          <w:tcW w:w="5500" w:type="dxa"/>
          <w:tcBorders>
            <w:top w:val="nil"/>
            <w:left w:val="nil"/>
            <w:bottom w:val="single" w:sz="2" w:space="0" w:color="000000"/>
            <w:right w:val="nil"/>
          </w:tcBorders>
        </w:tcPr>
        <w:p w14:paraId="31DA00C0" w14:textId="77777777" w:rsidR="000D2B32" w:rsidRDefault="001E0544">
          <w:r>
            <w:rPr>
              <w:sz w:val="24"/>
              <w:szCs w:val="24"/>
            </w:rPr>
            <w:t>Centers for Medicare &amp; Medicaid Services</w:t>
          </w:r>
        </w:p>
        <w:p w14:paraId="135B9F4B" w14:textId="77777777" w:rsidR="000D2B32" w:rsidRDefault="001E0544">
          <w:r>
            <w:rPr>
              <w:sz w:val="24"/>
              <w:szCs w:val="24"/>
            </w:rPr>
            <w:t>Center for Medicare Management</w:t>
          </w:r>
        </w:p>
        <w:p w14:paraId="3CFAB60C" w14:textId="77777777" w:rsidR="000D2B32" w:rsidRDefault="001E0544">
          <w:r>
            <w:rPr>
              <w:sz w:val="24"/>
              <w:szCs w:val="24"/>
            </w:rPr>
            <w:t>7500 Security Boulevard</w:t>
          </w:r>
        </w:p>
        <w:p w14:paraId="7926ADDE" w14:textId="77777777" w:rsidR="000D2B32" w:rsidRDefault="001E0544">
          <w:r>
            <w:rPr>
              <w:sz w:val="24"/>
              <w:szCs w:val="24"/>
            </w:rPr>
            <w:t>Baltimore, Maryland 21244-1850</w:t>
          </w:r>
        </w:p>
      </w:tc>
      <w:tc>
        <w:tcPr>
          <w:tcW w:w="3000" w:type="dxa"/>
          <w:tcBorders>
            <w:top w:val="nil"/>
            <w:left w:val="nil"/>
            <w:bottom w:val="single" w:sz="2" w:space="0" w:color="000000"/>
            <w:right w:val="nil"/>
          </w:tcBorders>
        </w:tcPr>
        <w:p w14:paraId="5BE910BD" w14:textId="77777777" w:rsidR="000D2B32" w:rsidRDefault="001E0544">
          <w:r>
            <w:rPr>
              <w:noProof/>
            </w:rPr>
            <w:drawing>
              <wp:inline distT="0" distB="0" distL="0" distR="0" wp14:anchorId="5B8EB0BF" wp14:editId="0C1F63E9">
                <wp:extent cx="1809750" cy="709327"/>
                <wp:effectExtent l="0" t="0" r="0" b="0"/>
                <wp:docPr id="1270886908" name="Picture 127088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09750" cy="70932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244D5"/>
    <w:multiLevelType w:val="hybridMultilevel"/>
    <w:tmpl w:val="4CFCF210"/>
    <w:lvl w:ilvl="0" w:tplc="D1A2C8C2">
      <w:start w:val="1"/>
      <w:numFmt w:val="bullet"/>
      <w:lvlText w:val="●"/>
      <w:lvlJc w:val="left"/>
      <w:pPr>
        <w:ind w:left="720" w:hanging="360"/>
      </w:pPr>
    </w:lvl>
    <w:lvl w:ilvl="1" w:tplc="5ABC62C6">
      <w:start w:val="1"/>
      <w:numFmt w:val="bullet"/>
      <w:lvlText w:val="○"/>
      <w:lvlJc w:val="left"/>
      <w:pPr>
        <w:ind w:left="1440" w:hanging="360"/>
      </w:pPr>
    </w:lvl>
    <w:lvl w:ilvl="2" w:tplc="9ABE0004">
      <w:start w:val="1"/>
      <w:numFmt w:val="bullet"/>
      <w:lvlText w:val="■"/>
      <w:lvlJc w:val="left"/>
      <w:pPr>
        <w:ind w:left="2160" w:hanging="360"/>
      </w:pPr>
    </w:lvl>
    <w:lvl w:ilvl="3" w:tplc="0674FB12">
      <w:start w:val="1"/>
      <w:numFmt w:val="bullet"/>
      <w:lvlText w:val="●"/>
      <w:lvlJc w:val="left"/>
      <w:pPr>
        <w:ind w:left="2880" w:hanging="360"/>
      </w:pPr>
    </w:lvl>
    <w:lvl w:ilvl="4" w:tplc="9C60B818">
      <w:start w:val="1"/>
      <w:numFmt w:val="bullet"/>
      <w:lvlText w:val="○"/>
      <w:lvlJc w:val="left"/>
      <w:pPr>
        <w:ind w:left="3600" w:hanging="360"/>
      </w:pPr>
    </w:lvl>
    <w:lvl w:ilvl="5" w:tplc="E9ECB0B0">
      <w:start w:val="1"/>
      <w:numFmt w:val="bullet"/>
      <w:lvlText w:val="■"/>
      <w:lvlJc w:val="left"/>
      <w:pPr>
        <w:ind w:left="4320" w:hanging="360"/>
      </w:pPr>
    </w:lvl>
    <w:lvl w:ilvl="6" w:tplc="D04A38F0">
      <w:start w:val="1"/>
      <w:numFmt w:val="bullet"/>
      <w:lvlText w:val="●"/>
      <w:lvlJc w:val="left"/>
      <w:pPr>
        <w:ind w:left="5040" w:hanging="360"/>
      </w:pPr>
    </w:lvl>
    <w:lvl w:ilvl="7" w:tplc="CD00F4E4">
      <w:start w:val="1"/>
      <w:numFmt w:val="bullet"/>
      <w:lvlText w:val="●"/>
      <w:lvlJc w:val="left"/>
      <w:pPr>
        <w:ind w:left="5760" w:hanging="360"/>
      </w:pPr>
    </w:lvl>
    <w:lvl w:ilvl="8" w:tplc="5BC2A1DE">
      <w:start w:val="1"/>
      <w:numFmt w:val="bullet"/>
      <w:lvlText w:val="●"/>
      <w:lvlJc w:val="left"/>
      <w:pPr>
        <w:ind w:left="6480" w:hanging="360"/>
      </w:pPr>
    </w:lvl>
  </w:abstractNum>
  <w:num w:numId="1" w16cid:durableId="1678340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32"/>
    <w:rsid w:val="00041EC7"/>
    <w:rsid w:val="000D2B32"/>
    <w:rsid w:val="000E5825"/>
    <w:rsid w:val="000F6E98"/>
    <w:rsid w:val="001E0544"/>
    <w:rsid w:val="00323F26"/>
    <w:rsid w:val="0037701B"/>
    <w:rsid w:val="003E5375"/>
    <w:rsid w:val="00470293"/>
    <w:rsid w:val="00606E28"/>
    <w:rsid w:val="00624E81"/>
    <w:rsid w:val="006D0E4E"/>
    <w:rsid w:val="007026D6"/>
    <w:rsid w:val="00735613"/>
    <w:rsid w:val="00735F2D"/>
    <w:rsid w:val="00775122"/>
    <w:rsid w:val="009D2582"/>
    <w:rsid w:val="00A101E2"/>
    <w:rsid w:val="00B85C0F"/>
    <w:rsid w:val="00DB4065"/>
    <w:rsid w:val="00F955B7"/>
    <w:rsid w:val="00F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9F2E"/>
  <w15:docId w15:val="{849B3AD0-834F-4656-A2AA-A4388F7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
    <w:rPr>
      <w:sz w:val="24"/>
      <w:szCs w:val="24"/>
    </w:rPr>
  </w:style>
  <w:style w:type="paragraph" w:customStyle="1" w:styleId="a0">
    <w:pPr>
      <w:jc w:val="center"/>
    </w:pPr>
    <w:rPr>
      <w:b/>
      <w:bCs/>
      <w:sz w:val="24"/>
      <w:szCs w:val="24"/>
    </w:rPr>
  </w:style>
  <w:style w:type="paragraph" w:customStyle="1" w:styleId="a1">
    <w:pPr>
      <w:jc w:val="center"/>
    </w:pPr>
    <w:rPr>
      <w:b/>
      <w:bCs/>
      <w:sz w:val="24"/>
      <w:szCs w:val="24"/>
    </w:rPr>
  </w:style>
  <w:style w:type="paragraph" w:customStyle="1" w:styleId="a2">
    <w:rPr>
      <w:sz w:val="24"/>
      <w:szCs w:val="24"/>
    </w:rPr>
  </w:style>
  <w:style w:type="paragraph" w:customStyle="1" w:styleId="a3">
    <w:pPr>
      <w:jc w:val="center"/>
    </w:pPr>
    <w:rPr>
      <w:sz w:val="24"/>
      <w:szCs w:val="24"/>
    </w:rPr>
  </w:style>
  <w:style w:type="paragraph" w:customStyle="1" w:styleId="a4">
    <w:rPr>
      <w:sz w:val="24"/>
      <w:szCs w:val="24"/>
    </w:rPr>
  </w:style>
  <w:style w:type="paragraph" w:customStyle="1" w:styleId="a5">
    <w:pPr>
      <w:spacing w:after="360"/>
    </w:pPr>
    <w:rPr>
      <w:sz w:val="24"/>
      <w:szCs w:val="24"/>
    </w:rPr>
  </w:style>
  <w:style w:type="paragraph" w:customStyle="1" w:styleId="a6">
    <w:pPr>
      <w:spacing w:after="160"/>
    </w:pPr>
    <w:rPr>
      <w:b/>
      <w:bCs/>
      <w:sz w:val="24"/>
      <w:szCs w:val="24"/>
    </w:rPr>
  </w:style>
  <w:style w:type="paragraph" w:customStyle="1" w:styleId="a7">
    <w:pPr>
      <w:spacing w:after="160"/>
    </w:pPr>
    <w:rPr>
      <w:sz w:val="24"/>
      <w:szCs w:val="24"/>
    </w:rPr>
  </w:style>
  <w:style w:type="paragraph" w:customStyle="1" w:styleId="a8">
    <w:pPr>
      <w:jc w:val="center"/>
    </w:pPr>
    <w:rPr>
      <w:b/>
      <w:bCs/>
      <w:sz w:val="24"/>
      <w:szCs w:val="24"/>
    </w:rPr>
  </w:style>
  <w:style w:type="paragraph" w:customStyle="1" w:styleId="a9">
    <w:rPr>
      <w:sz w:val="24"/>
      <w:szCs w:val="24"/>
    </w:rPr>
  </w:style>
  <w:style w:type="paragraph" w:customStyle="1" w:styleId="aa">
    <w:pPr>
      <w:spacing w:after="200"/>
    </w:pPr>
    <w:rPr>
      <w:b/>
      <w:bCs/>
      <w:sz w:val="24"/>
      <w:szCs w:val="24"/>
    </w:rPr>
  </w:style>
  <w:style w:type="paragraph" w:customStyle="1" w:styleId="ab">
    <w:pPr>
      <w:spacing w:after="200"/>
    </w:pPr>
    <w:rPr>
      <w:sz w:val="24"/>
      <w:szCs w:val="24"/>
    </w:rPr>
  </w:style>
  <w:style w:type="paragraph" w:customStyle="1" w:styleId="ac">
    <w:pPr>
      <w:spacing w:after="175"/>
      <w:jc w:val="center"/>
    </w:pPr>
    <w:rPr>
      <w:b/>
      <w:bCs/>
      <w:sz w:val="24"/>
      <w:szCs w:val="24"/>
    </w:rPr>
  </w:style>
  <w:style w:type="paragraph" w:customStyle="1" w:styleId="ad">
    <w:pPr>
      <w:spacing w:after="175"/>
      <w:jc w:val="center"/>
    </w:pPr>
    <w:rPr>
      <w:b/>
      <w:bCs/>
    </w:rPr>
  </w:style>
  <w:style w:type="paragraph" w:customStyle="1" w:styleId="ae">
    <w:pPr>
      <w:spacing w:after="175"/>
      <w:jc w:val="center"/>
    </w:pPr>
  </w:style>
  <w:style w:type="paragraph" w:customStyle="1" w:styleId="af">
    <w:rPr>
      <w:sz w:val="24"/>
      <w:szCs w:val="24"/>
    </w:rPr>
  </w:style>
  <w:style w:type="paragraph" w:customStyle="1" w:styleId="af0">
    <w:pPr>
      <w:spacing w:before="150" w:after="150"/>
    </w:pPr>
  </w:style>
  <w:style w:type="paragraph" w:customStyle="1" w:styleId="af1">
    <w:pPr>
      <w:spacing w:before="150" w:after="150"/>
    </w:pPr>
    <w:rPr>
      <w:b/>
      <w:bCs/>
    </w:rPr>
  </w:style>
  <w:style w:type="paragraph" w:customStyle="1" w:styleId="af2">
    <w:rPr>
      <w:sz w:val="18"/>
      <w:szCs w:val="18"/>
    </w:rPr>
  </w:style>
  <w:style w:type="paragraph" w:customStyle="1" w:styleId="af3">
    <w:rPr>
      <w:b/>
      <w:bCs/>
      <w:i/>
      <w:iCs/>
    </w:rPr>
  </w:style>
  <w:style w:type="character" w:styleId="CommentReference">
    <w:name w:val="annotation reference"/>
    <w:basedOn w:val="DefaultParagraphFont"/>
    <w:uiPriority w:val="99"/>
    <w:semiHidden/>
    <w:unhideWhenUsed/>
    <w:rsid w:val="00606E28"/>
    <w:rPr>
      <w:sz w:val="16"/>
      <w:szCs w:val="16"/>
    </w:rPr>
  </w:style>
  <w:style w:type="paragraph" w:styleId="CommentText">
    <w:name w:val="annotation text"/>
    <w:basedOn w:val="Normal"/>
    <w:link w:val="CommentTextChar"/>
    <w:uiPriority w:val="99"/>
    <w:unhideWhenUsed/>
    <w:rsid w:val="00606E28"/>
  </w:style>
  <w:style w:type="character" w:customStyle="1" w:styleId="CommentTextChar">
    <w:name w:val="Comment Text Char"/>
    <w:basedOn w:val="DefaultParagraphFont"/>
    <w:link w:val="CommentText"/>
    <w:uiPriority w:val="99"/>
    <w:rsid w:val="00606E28"/>
  </w:style>
  <w:style w:type="paragraph" w:styleId="CommentSubject">
    <w:name w:val="annotation subject"/>
    <w:basedOn w:val="CommentText"/>
    <w:next w:val="CommentText"/>
    <w:link w:val="CommentSubjectChar"/>
    <w:uiPriority w:val="99"/>
    <w:semiHidden/>
    <w:unhideWhenUsed/>
    <w:rsid w:val="00606E28"/>
    <w:rPr>
      <w:b/>
      <w:bCs/>
    </w:rPr>
  </w:style>
  <w:style w:type="character" w:customStyle="1" w:styleId="CommentSubjectChar">
    <w:name w:val="Comment Subject Char"/>
    <w:basedOn w:val="CommentTextChar"/>
    <w:link w:val="CommentSubject"/>
    <w:uiPriority w:val="99"/>
    <w:semiHidden/>
    <w:rsid w:val="00606E28"/>
    <w:rPr>
      <w:b/>
      <w:bCs/>
    </w:rPr>
  </w:style>
  <w:style w:type="paragraph" w:styleId="Revision">
    <w:name w:val="Revision"/>
    <w:hidden/>
    <w:uiPriority w:val="99"/>
    <w:semiHidden/>
    <w:rsid w:val="007026D6"/>
  </w:style>
  <w:style w:type="paragraph" w:styleId="Header">
    <w:name w:val="header"/>
    <w:basedOn w:val="Normal"/>
    <w:link w:val="HeaderChar"/>
    <w:uiPriority w:val="99"/>
    <w:unhideWhenUsed/>
    <w:rsid w:val="00624E81"/>
    <w:pPr>
      <w:tabs>
        <w:tab w:val="center" w:pos="4680"/>
        <w:tab w:val="right" w:pos="9360"/>
      </w:tabs>
    </w:pPr>
  </w:style>
  <w:style w:type="character" w:customStyle="1" w:styleId="HeaderChar">
    <w:name w:val="Header Char"/>
    <w:basedOn w:val="DefaultParagraphFont"/>
    <w:link w:val="Header"/>
    <w:uiPriority w:val="99"/>
    <w:rsid w:val="00624E81"/>
  </w:style>
  <w:style w:type="paragraph" w:styleId="Footer">
    <w:name w:val="footer"/>
    <w:basedOn w:val="Normal"/>
    <w:link w:val="FooterChar"/>
    <w:uiPriority w:val="99"/>
    <w:unhideWhenUsed/>
    <w:rsid w:val="00624E81"/>
    <w:pPr>
      <w:tabs>
        <w:tab w:val="center" w:pos="4680"/>
        <w:tab w:val="right" w:pos="9360"/>
      </w:tabs>
    </w:pPr>
  </w:style>
  <w:style w:type="character" w:customStyle="1" w:styleId="FooterChar">
    <w:name w:val="Footer Char"/>
    <w:basedOn w:val="DefaultParagraphFont"/>
    <w:link w:val="Footer"/>
    <w:uiPriority w:val="99"/>
    <w:rsid w:val="0062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6EB37826E8B43BFBD39C5441F2134" ma:contentTypeVersion="2" ma:contentTypeDescription="Create a new document." ma:contentTypeScope="" ma:versionID="4d658f31958f9a4509978faf0c3b5c02">
  <xsd:schema xmlns:xsd="http://www.w3.org/2001/XMLSchema" xmlns:xs="http://www.w3.org/2001/XMLSchema" xmlns:p="http://schemas.microsoft.com/office/2006/metadata/properties" targetNamespace="http://schemas.microsoft.com/office/2006/metadata/properties" ma:root="true" ma:fieldsID="8178a59654f5abe82e1a03890ff179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845C7-DD2F-4158-BAA8-1ECA0AB2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C45FBC-1535-4754-A9BC-6378C6F3C240}">
  <ds:schemaRefs>
    <ds:schemaRef ds:uri="http://schemas.microsoft.com/sharepoint/v3/contenttype/forms"/>
  </ds:schemaRefs>
</ds:datastoreItem>
</file>

<file path=customXml/itemProps3.xml><?xml version="1.0" encoding="utf-8"?>
<ds:datastoreItem xmlns:ds="http://schemas.openxmlformats.org/officeDocument/2006/customXml" ds:itemID="{BC40500C-76F6-4ECF-8B33-07D34E673353}">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Kasper, Drew (CMS/CM)</cp:lastModifiedBy>
  <cp:revision>6</cp:revision>
  <dcterms:created xsi:type="dcterms:W3CDTF">2025-11-13T15:49:00Z</dcterms:created>
  <dcterms:modified xsi:type="dcterms:W3CDTF">2025-11-13T16:28:00Z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0x0101005D26EB37826E8B43BFBD39C5441F2134</vt:lpwstr>
  </property>
</Properties>
</file>