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95959649"/>
        <w:docPartObj>
          <w:docPartGallery w:val="Cover Pages"/>
          <w:docPartUnique/>
        </w:docPartObj>
      </w:sdtPr>
      <w:sdtContent>
        <w:p w14:paraId="5956CAE2" w14:textId="755BEAF4" w:rsidR="006B7BF9" w:rsidRDefault="006B7BF9">
          <w:r>
            <w:rPr>
              <w:noProof/>
            </w:rPr>
            <mc:AlternateContent>
              <mc:Choice Requires="wps">
                <w:drawing>
                  <wp:anchor distT="0" distB="0" distL="114300" distR="114300" simplePos="0" relativeHeight="251659264" behindDoc="0" locked="0" layoutInCell="1" allowOverlap="1" wp14:anchorId="4EEF2890" wp14:editId="47F3F21B">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5550"/>
                                  <w:gridCol w:w="2245"/>
                                </w:tblGrid>
                                <w:tr w:rsidR="006B7BF9" w14:paraId="60BC4FA0" w14:textId="77777777">
                                  <w:trPr>
                                    <w:jc w:val="center"/>
                                  </w:trPr>
                                  <w:tc>
                                    <w:tcPr>
                                      <w:tcW w:w="2568" w:type="pct"/>
                                      <w:vAlign w:val="center"/>
                                    </w:tcPr>
                                    <w:p w14:paraId="52992E21" w14:textId="77777777" w:rsidR="006B7BF9" w:rsidRDefault="006B7BF9">
                                      <w:pPr>
                                        <w:jc w:val="right"/>
                                      </w:pPr>
                                      <w:r>
                                        <w:rPr>
                                          <w:noProof/>
                                        </w:rPr>
                                        <w:drawing>
                                          <wp:inline distT="0" distB="0" distL="0" distR="0" wp14:anchorId="29D24F80" wp14:editId="5ECB6771">
                                            <wp:extent cx="3065006" cy="1562020"/>
                                            <wp:effectExtent l="0" t="0" r="2540" b="635"/>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562020"/>
                                                    </a:xfrm>
                                                    <a:prstGeom prst="rect">
                                                      <a:avLst/>
                                                    </a:prstGeom>
                                                  </pic:spPr>
                                                </pic:pic>
                                              </a:graphicData>
                                            </a:graphic>
                                          </wp:inline>
                                        </w:drawing>
                                      </w:r>
                                    </w:p>
                                    <w:sdt>
                                      <w:sdtPr>
                                        <w:rPr>
                                          <w:caps/>
                                          <w:color w:val="191919" w:themeColor="text1" w:themeTint="E6"/>
                                          <w:sz w:val="36"/>
                                          <w:szCs w:val="3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98B9A54" w14:textId="66366AB2" w:rsidR="006B7BF9" w:rsidRPr="006B7BF9" w:rsidRDefault="000052F8" w:rsidP="00C11CC6">
                                          <w:pPr>
                                            <w:pStyle w:val="NoSpacing"/>
                                            <w:spacing w:line="312" w:lineRule="auto"/>
                                            <w:rPr>
                                              <w:caps/>
                                              <w:color w:val="191919" w:themeColor="text1" w:themeTint="E6"/>
                                              <w:sz w:val="36"/>
                                              <w:szCs w:val="36"/>
                                            </w:rPr>
                                          </w:pPr>
                                          <w:r>
                                            <w:rPr>
                                              <w:caps/>
                                              <w:color w:val="191919" w:themeColor="text1" w:themeTint="E6"/>
                                              <w:sz w:val="36"/>
                                              <w:szCs w:val="36"/>
                                            </w:rPr>
                                            <w:t xml:space="preserve">Open Payments </w:t>
                                          </w:r>
                                          <w:r w:rsidR="006C6EE3">
                                            <w:rPr>
                                              <w:caps/>
                                              <w:color w:val="191919" w:themeColor="text1" w:themeTint="E6"/>
                                              <w:sz w:val="36"/>
                                              <w:szCs w:val="36"/>
                                            </w:rPr>
                                            <w:t>Data Refresh Package</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BAC6966" w14:textId="14A9A0AD" w:rsidR="006B7BF9" w:rsidRDefault="00DC6E2F" w:rsidP="00DB400F">
                                          <w:pPr>
                                            <w:rPr>
                                              <w:sz w:val="24"/>
                                              <w:szCs w:val="24"/>
                                            </w:rPr>
                                          </w:pPr>
                                          <w:r>
                                            <w:rPr>
                                              <w:color w:val="000000" w:themeColor="text1"/>
                                              <w:sz w:val="24"/>
                                              <w:szCs w:val="24"/>
                                            </w:rPr>
                                            <w:t>January 2026</w:t>
                                          </w:r>
                                        </w:p>
                                      </w:sdtContent>
                                    </w:sdt>
                                  </w:tc>
                                  <w:tc>
                                    <w:tcPr>
                                      <w:tcW w:w="2432" w:type="pct"/>
                                      <w:vAlign w:val="center"/>
                                    </w:tcPr>
                                    <w:p w14:paraId="00544294" w14:textId="74BE71FA" w:rsidR="006B7BF9" w:rsidRDefault="006B7BF9">
                                      <w:pPr>
                                        <w:pStyle w:val="NoSpacing"/>
                                        <w:rPr>
                                          <w:caps/>
                                          <w:color w:val="2683C6" w:themeColor="accent2"/>
                                          <w:sz w:val="26"/>
                                          <w:szCs w:val="26"/>
                                        </w:rPr>
                                      </w:pPr>
                                      <w:r>
                                        <w:rPr>
                                          <w:caps/>
                                          <w:color w:val="2683C6" w:themeColor="accent2"/>
                                          <w:sz w:val="26"/>
                                          <w:szCs w:val="26"/>
                                        </w:rPr>
                                        <w:t>Summary</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B8AD70C" w14:textId="4B7CACA0" w:rsidR="006B7BF9" w:rsidRDefault="001D7E25">
                                          <w:pPr>
                                            <w:rPr>
                                              <w:color w:val="000000" w:themeColor="text1"/>
                                            </w:rPr>
                                          </w:pPr>
                                          <w:r>
                                            <w:rPr>
                                              <w:color w:val="000000" w:themeColor="text1"/>
                                            </w:rPr>
                                            <w:t xml:space="preserve">The Open Payments data will be refreshed in January 2026. The refresh contains changes and updates to the data that occurred between the initial data publication in June 2025 and December 2025. The update will be communicated via the Open Payments listserv. </w:t>
                                          </w:r>
                                        </w:p>
                                      </w:sdtContent>
                                    </w:sdt>
                                    <w:sdt>
                                      <w:sdtPr>
                                        <w:rPr>
                                          <w:color w:val="2683C6"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3925B10" w14:textId="3E910C69" w:rsidR="006B7BF9" w:rsidRPr="006C6EE3" w:rsidRDefault="006C6EE3">
                                          <w:pPr>
                                            <w:pStyle w:val="NoSpacing"/>
                                            <w:rPr>
                                              <w:color w:val="2683C6" w:themeColor="accent2"/>
                                              <w:sz w:val="26"/>
                                              <w:szCs w:val="26"/>
                                            </w:rPr>
                                          </w:pPr>
                                          <w:r w:rsidRPr="006C6EE3">
                                            <w:rPr>
                                              <w:color w:val="2683C6" w:themeColor="accent2"/>
                                              <w:sz w:val="26"/>
                                              <w:szCs w:val="26"/>
                                            </w:rPr>
                                            <w:t>Transparency &amp; Data Group</w:t>
                                          </w:r>
                                        </w:p>
                                      </w:sdtContent>
                                    </w:sdt>
                                  </w:tc>
                                </w:tr>
                              </w:tbl>
                              <w:p w14:paraId="33478CA9" w14:textId="77777777" w:rsidR="006B7BF9" w:rsidRDefault="006B7BF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EEF2890"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5550"/>
                            <w:gridCol w:w="2245"/>
                          </w:tblGrid>
                          <w:tr w:rsidR="006B7BF9" w14:paraId="60BC4FA0" w14:textId="77777777">
                            <w:trPr>
                              <w:jc w:val="center"/>
                            </w:trPr>
                            <w:tc>
                              <w:tcPr>
                                <w:tcW w:w="2568" w:type="pct"/>
                                <w:vAlign w:val="center"/>
                              </w:tcPr>
                              <w:p w14:paraId="52992E21" w14:textId="77777777" w:rsidR="006B7BF9" w:rsidRDefault="006B7BF9">
                                <w:pPr>
                                  <w:jc w:val="right"/>
                                </w:pPr>
                                <w:r>
                                  <w:rPr>
                                    <w:noProof/>
                                  </w:rPr>
                                  <w:drawing>
                                    <wp:inline distT="0" distB="0" distL="0" distR="0" wp14:anchorId="29D24F80" wp14:editId="5ECB6771">
                                      <wp:extent cx="3065006" cy="1562020"/>
                                      <wp:effectExtent l="0" t="0" r="2540" b="635"/>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562020"/>
                                              </a:xfrm>
                                              <a:prstGeom prst="rect">
                                                <a:avLst/>
                                              </a:prstGeom>
                                            </pic:spPr>
                                          </pic:pic>
                                        </a:graphicData>
                                      </a:graphic>
                                    </wp:inline>
                                  </w:drawing>
                                </w:r>
                              </w:p>
                              <w:sdt>
                                <w:sdtPr>
                                  <w:rPr>
                                    <w:caps/>
                                    <w:color w:val="191919" w:themeColor="text1" w:themeTint="E6"/>
                                    <w:sz w:val="36"/>
                                    <w:szCs w:val="3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98B9A54" w14:textId="66366AB2" w:rsidR="006B7BF9" w:rsidRPr="006B7BF9" w:rsidRDefault="000052F8" w:rsidP="00C11CC6">
                                    <w:pPr>
                                      <w:pStyle w:val="NoSpacing"/>
                                      <w:spacing w:line="312" w:lineRule="auto"/>
                                      <w:rPr>
                                        <w:caps/>
                                        <w:color w:val="191919" w:themeColor="text1" w:themeTint="E6"/>
                                        <w:sz w:val="36"/>
                                        <w:szCs w:val="36"/>
                                      </w:rPr>
                                    </w:pPr>
                                    <w:r>
                                      <w:rPr>
                                        <w:caps/>
                                        <w:color w:val="191919" w:themeColor="text1" w:themeTint="E6"/>
                                        <w:sz w:val="36"/>
                                        <w:szCs w:val="36"/>
                                      </w:rPr>
                                      <w:t xml:space="preserve">Open Payments </w:t>
                                    </w:r>
                                    <w:r w:rsidR="006C6EE3">
                                      <w:rPr>
                                        <w:caps/>
                                        <w:color w:val="191919" w:themeColor="text1" w:themeTint="E6"/>
                                        <w:sz w:val="36"/>
                                        <w:szCs w:val="36"/>
                                      </w:rPr>
                                      <w:t>Data Refresh Package</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BAC6966" w14:textId="14A9A0AD" w:rsidR="006B7BF9" w:rsidRDefault="00DC6E2F" w:rsidP="00DB400F">
                                    <w:pPr>
                                      <w:rPr>
                                        <w:sz w:val="24"/>
                                        <w:szCs w:val="24"/>
                                      </w:rPr>
                                    </w:pPr>
                                    <w:r>
                                      <w:rPr>
                                        <w:color w:val="000000" w:themeColor="text1"/>
                                        <w:sz w:val="24"/>
                                        <w:szCs w:val="24"/>
                                      </w:rPr>
                                      <w:t>January 2026</w:t>
                                    </w:r>
                                  </w:p>
                                </w:sdtContent>
                              </w:sdt>
                            </w:tc>
                            <w:tc>
                              <w:tcPr>
                                <w:tcW w:w="2432" w:type="pct"/>
                                <w:vAlign w:val="center"/>
                              </w:tcPr>
                              <w:p w14:paraId="00544294" w14:textId="74BE71FA" w:rsidR="006B7BF9" w:rsidRDefault="006B7BF9">
                                <w:pPr>
                                  <w:pStyle w:val="NoSpacing"/>
                                  <w:rPr>
                                    <w:caps/>
                                    <w:color w:val="2683C6" w:themeColor="accent2"/>
                                    <w:sz w:val="26"/>
                                    <w:szCs w:val="26"/>
                                  </w:rPr>
                                </w:pPr>
                                <w:r>
                                  <w:rPr>
                                    <w:caps/>
                                    <w:color w:val="2683C6" w:themeColor="accent2"/>
                                    <w:sz w:val="26"/>
                                    <w:szCs w:val="26"/>
                                  </w:rPr>
                                  <w:t>Summary</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B8AD70C" w14:textId="4B7CACA0" w:rsidR="006B7BF9" w:rsidRDefault="001D7E25">
                                    <w:pPr>
                                      <w:rPr>
                                        <w:color w:val="000000" w:themeColor="text1"/>
                                      </w:rPr>
                                    </w:pPr>
                                    <w:r>
                                      <w:rPr>
                                        <w:color w:val="000000" w:themeColor="text1"/>
                                      </w:rPr>
                                      <w:t xml:space="preserve">The Open Payments data will be refreshed in January 2026. The refresh contains changes and updates to the data that occurred between the initial data publication in June 2025 and December 2025. The update will be communicated via the Open Payments listserv. </w:t>
                                    </w:r>
                                  </w:p>
                                </w:sdtContent>
                              </w:sdt>
                              <w:sdt>
                                <w:sdtPr>
                                  <w:rPr>
                                    <w:color w:val="2683C6"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3925B10" w14:textId="3E910C69" w:rsidR="006B7BF9" w:rsidRPr="006C6EE3" w:rsidRDefault="006C6EE3">
                                    <w:pPr>
                                      <w:pStyle w:val="NoSpacing"/>
                                      <w:rPr>
                                        <w:color w:val="2683C6" w:themeColor="accent2"/>
                                        <w:sz w:val="26"/>
                                        <w:szCs w:val="26"/>
                                      </w:rPr>
                                    </w:pPr>
                                    <w:r w:rsidRPr="006C6EE3">
                                      <w:rPr>
                                        <w:color w:val="2683C6" w:themeColor="accent2"/>
                                        <w:sz w:val="26"/>
                                        <w:szCs w:val="26"/>
                                      </w:rPr>
                                      <w:t>Transparency &amp; Data Group</w:t>
                                    </w:r>
                                  </w:p>
                                </w:sdtContent>
                              </w:sdt>
                            </w:tc>
                          </w:tr>
                        </w:tbl>
                        <w:p w14:paraId="33478CA9" w14:textId="77777777" w:rsidR="006B7BF9" w:rsidRDefault="006B7BF9"/>
                      </w:txbxContent>
                    </v:textbox>
                    <w10:wrap anchorx="page" anchory="page"/>
                  </v:shape>
                </w:pict>
              </mc:Fallback>
            </mc:AlternateContent>
          </w:r>
          <w:r>
            <w:br w:type="page"/>
          </w:r>
        </w:p>
      </w:sdtContent>
    </w:sdt>
    <w:sdt>
      <w:sdtPr>
        <w:rPr>
          <w:rFonts w:asciiTheme="minorHAnsi" w:eastAsiaTheme="minorHAnsi" w:hAnsiTheme="minorHAnsi" w:cstheme="minorBidi"/>
          <w:color w:val="auto"/>
          <w:kern w:val="2"/>
          <w:sz w:val="22"/>
          <w:szCs w:val="22"/>
          <w14:ligatures w14:val="standardContextual"/>
        </w:rPr>
        <w:id w:val="1832633483"/>
        <w:docPartObj>
          <w:docPartGallery w:val="Table of Contents"/>
          <w:docPartUnique/>
        </w:docPartObj>
      </w:sdtPr>
      <w:sdtEndPr>
        <w:rPr>
          <w:b/>
          <w:bCs/>
          <w:noProof/>
        </w:rPr>
      </w:sdtEndPr>
      <w:sdtContent>
        <w:p w14:paraId="6DA15FA4" w14:textId="746A8C86" w:rsidR="00A02980" w:rsidRDefault="00A02980">
          <w:pPr>
            <w:pStyle w:val="TOCHeading"/>
          </w:pPr>
          <w:r>
            <w:t>Contents</w:t>
          </w:r>
        </w:p>
        <w:p w14:paraId="15969EB5" w14:textId="2A4CCFC2" w:rsidR="0093553C" w:rsidRDefault="00A02980">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4122952" w:history="1">
            <w:r w:rsidR="0093553C" w:rsidRPr="002514C4">
              <w:rPr>
                <w:rStyle w:val="Hyperlink"/>
                <w:noProof/>
              </w:rPr>
              <w:t>Open Payments Data Refresh – Rollout Materials</w:t>
            </w:r>
            <w:r w:rsidR="0093553C">
              <w:rPr>
                <w:noProof/>
                <w:webHidden/>
              </w:rPr>
              <w:tab/>
            </w:r>
            <w:r w:rsidR="0093553C">
              <w:rPr>
                <w:noProof/>
                <w:webHidden/>
              </w:rPr>
              <w:fldChar w:fldCharType="begin"/>
            </w:r>
            <w:r w:rsidR="0093553C">
              <w:rPr>
                <w:noProof/>
                <w:webHidden/>
              </w:rPr>
              <w:instrText xml:space="preserve"> PAGEREF _Toc184122952 \h </w:instrText>
            </w:r>
            <w:r w:rsidR="0093553C">
              <w:rPr>
                <w:noProof/>
                <w:webHidden/>
              </w:rPr>
            </w:r>
            <w:r w:rsidR="0093553C">
              <w:rPr>
                <w:noProof/>
                <w:webHidden/>
              </w:rPr>
              <w:fldChar w:fldCharType="separate"/>
            </w:r>
            <w:r w:rsidR="00E602A2">
              <w:rPr>
                <w:noProof/>
                <w:webHidden/>
              </w:rPr>
              <w:t>2</w:t>
            </w:r>
            <w:r w:rsidR="0093553C">
              <w:rPr>
                <w:noProof/>
                <w:webHidden/>
              </w:rPr>
              <w:fldChar w:fldCharType="end"/>
            </w:r>
          </w:hyperlink>
        </w:p>
        <w:p w14:paraId="4E533AE1" w14:textId="56D57EDF" w:rsidR="0093553C" w:rsidRDefault="0093553C">
          <w:pPr>
            <w:pStyle w:val="TOC2"/>
            <w:tabs>
              <w:tab w:val="right" w:leader="dot" w:pos="9350"/>
            </w:tabs>
            <w:rPr>
              <w:rFonts w:eastAsiaTheme="minorEastAsia"/>
              <w:noProof/>
              <w:sz w:val="24"/>
              <w:szCs w:val="24"/>
            </w:rPr>
          </w:pPr>
          <w:hyperlink w:anchor="_Toc184122953" w:history="1">
            <w:r w:rsidRPr="002514C4">
              <w:rPr>
                <w:rStyle w:val="Hyperlink"/>
                <w:b/>
                <w:bCs/>
                <w:noProof/>
              </w:rPr>
              <w:t>Rollout Description</w:t>
            </w:r>
            <w:r>
              <w:rPr>
                <w:noProof/>
                <w:webHidden/>
              </w:rPr>
              <w:tab/>
            </w:r>
            <w:r>
              <w:rPr>
                <w:noProof/>
                <w:webHidden/>
              </w:rPr>
              <w:fldChar w:fldCharType="begin"/>
            </w:r>
            <w:r>
              <w:rPr>
                <w:noProof/>
                <w:webHidden/>
              </w:rPr>
              <w:instrText xml:space="preserve"> PAGEREF _Toc184122953 \h </w:instrText>
            </w:r>
            <w:r>
              <w:rPr>
                <w:noProof/>
                <w:webHidden/>
              </w:rPr>
            </w:r>
            <w:r>
              <w:rPr>
                <w:noProof/>
                <w:webHidden/>
              </w:rPr>
              <w:fldChar w:fldCharType="separate"/>
            </w:r>
            <w:r w:rsidR="00E602A2">
              <w:rPr>
                <w:noProof/>
                <w:webHidden/>
              </w:rPr>
              <w:t>2</w:t>
            </w:r>
            <w:r>
              <w:rPr>
                <w:noProof/>
                <w:webHidden/>
              </w:rPr>
              <w:fldChar w:fldCharType="end"/>
            </w:r>
          </w:hyperlink>
        </w:p>
        <w:p w14:paraId="6A069B42" w14:textId="7235DFE2" w:rsidR="0093553C" w:rsidRDefault="0093553C">
          <w:pPr>
            <w:pStyle w:val="TOC3"/>
            <w:tabs>
              <w:tab w:val="right" w:leader="dot" w:pos="9350"/>
            </w:tabs>
            <w:rPr>
              <w:rFonts w:eastAsiaTheme="minorEastAsia"/>
              <w:noProof/>
              <w:sz w:val="24"/>
              <w:szCs w:val="24"/>
            </w:rPr>
          </w:pPr>
          <w:hyperlink w:anchor="_Toc184122954" w:history="1">
            <w:r w:rsidRPr="002514C4">
              <w:rPr>
                <w:rStyle w:val="Hyperlink"/>
                <w:noProof/>
              </w:rPr>
              <w:t>Reactive Statement</w:t>
            </w:r>
            <w:r>
              <w:rPr>
                <w:noProof/>
                <w:webHidden/>
              </w:rPr>
              <w:tab/>
            </w:r>
            <w:r>
              <w:rPr>
                <w:noProof/>
                <w:webHidden/>
              </w:rPr>
              <w:fldChar w:fldCharType="begin"/>
            </w:r>
            <w:r>
              <w:rPr>
                <w:noProof/>
                <w:webHidden/>
              </w:rPr>
              <w:instrText xml:space="preserve"> PAGEREF _Toc184122954 \h </w:instrText>
            </w:r>
            <w:r>
              <w:rPr>
                <w:noProof/>
                <w:webHidden/>
              </w:rPr>
            </w:r>
            <w:r>
              <w:rPr>
                <w:noProof/>
                <w:webHidden/>
              </w:rPr>
              <w:fldChar w:fldCharType="separate"/>
            </w:r>
            <w:r w:rsidR="00E602A2">
              <w:rPr>
                <w:noProof/>
                <w:webHidden/>
              </w:rPr>
              <w:t>2</w:t>
            </w:r>
            <w:r>
              <w:rPr>
                <w:noProof/>
                <w:webHidden/>
              </w:rPr>
              <w:fldChar w:fldCharType="end"/>
            </w:r>
          </w:hyperlink>
        </w:p>
        <w:p w14:paraId="1A7F24CC" w14:textId="2B02809E" w:rsidR="0093553C" w:rsidRDefault="0093553C">
          <w:pPr>
            <w:pStyle w:val="TOC3"/>
            <w:tabs>
              <w:tab w:val="right" w:leader="dot" w:pos="9350"/>
            </w:tabs>
            <w:rPr>
              <w:rFonts w:eastAsiaTheme="minorEastAsia"/>
              <w:noProof/>
              <w:sz w:val="24"/>
              <w:szCs w:val="24"/>
            </w:rPr>
          </w:pPr>
          <w:hyperlink w:anchor="_Toc184122955" w:history="1">
            <w:r w:rsidRPr="002514C4">
              <w:rPr>
                <w:rStyle w:val="Hyperlink"/>
                <w:noProof/>
              </w:rPr>
              <w:t>Rollout Materials Summary</w:t>
            </w:r>
            <w:r>
              <w:rPr>
                <w:noProof/>
                <w:webHidden/>
              </w:rPr>
              <w:tab/>
            </w:r>
            <w:r>
              <w:rPr>
                <w:noProof/>
                <w:webHidden/>
              </w:rPr>
              <w:fldChar w:fldCharType="begin"/>
            </w:r>
            <w:r>
              <w:rPr>
                <w:noProof/>
                <w:webHidden/>
              </w:rPr>
              <w:instrText xml:space="preserve"> PAGEREF _Toc184122955 \h </w:instrText>
            </w:r>
            <w:r>
              <w:rPr>
                <w:noProof/>
                <w:webHidden/>
              </w:rPr>
            </w:r>
            <w:r>
              <w:rPr>
                <w:noProof/>
                <w:webHidden/>
              </w:rPr>
              <w:fldChar w:fldCharType="separate"/>
            </w:r>
            <w:r w:rsidR="00E602A2">
              <w:rPr>
                <w:noProof/>
                <w:webHidden/>
              </w:rPr>
              <w:t>2</w:t>
            </w:r>
            <w:r>
              <w:rPr>
                <w:noProof/>
                <w:webHidden/>
              </w:rPr>
              <w:fldChar w:fldCharType="end"/>
            </w:r>
          </w:hyperlink>
        </w:p>
        <w:p w14:paraId="1AB35637" w14:textId="2C274E57" w:rsidR="0093553C" w:rsidRDefault="0093553C">
          <w:pPr>
            <w:pStyle w:val="TOC2"/>
            <w:tabs>
              <w:tab w:val="right" w:leader="dot" w:pos="9350"/>
            </w:tabs>
            <w:rPr>
              <w:rFonts w:eastAsiaTheme="minorEastAsia"/>
              <w:noProof/>
              <w:sz w:val="24"/>
              <w:szCs w:val="24"/>
            </w:rPr>
          </w:pPr>
          <w:hyperlink w:anchor="_Toc184122956" w:history="1">
            <w:r w:rsidRPr="002514C4">
              <w:rPr>
                <w:rStyle w:val="Hyperlink"/>
                <w:noProof/>
              </w:rPr>
              <w:t>Listserv Announcement</w:t>
            </w:r>
            <w:r>
              <w:rPr>
                <w:noProof/>
                <w:webHidden/>
              </w:rPr>
              <w:tab/>
            </w:r>
            <w:r>
              <w:rPr>
                <w:noProof/>
                <w:webHidden/>
              </w:rPr>
              <w:fldChar w:fldCharType="begin"/>
            </w:r>
            <w:r>
              <w:rPr>
                <w:noProof/>
                <w:webHidden/>
              </w:rPr>
              <w:instrText xml:space="preserve"> PAGEREF _Toc184122956 \h </w:instrText>
            </w:r>
            <w:r>
              <w:rPr>
                <w:noProof/>
                <w:webHidden/>
              </w:rPr>
            </w:r>
            <w:r>
              <w:rPr>
                <w:noProof/>
                <w:webHidden/>
              </w:rPr>
              <w:fldChar w:fldCharType="separate"/>
            </w:r>
            <w:r w:rsidR="00E602A2">
              <w:rPr>
                <w:noProof/>
                <w:webHidden/>
              </w:rPr>
              <w:t>3</w:t>
            </w:r>
            <w:r>
              <w:rPr>
                <w:noProof/>
                <w:webHidden/>
              </w:rPr>
              <w:fldChar w:fldCharType="end"/>
            </w:r>
          </w:hyperlink>
        </w:p>
        <w:p w14:paraId="6CFF46FB" w14:textId="03C7F3F0" w:rsidR="0093553C" w:rsidRDefault="0093553C">
          <w:pPr>
            <w:pStyle w:val="TOC2"/>
            <w:tabs>
              <w:tab w:val="right" w:leader="dot" w:pos="9350"/>
            </w:tabs>
            <w:rPr>
              <w:rFonts w:eastAsiaTheme="minorEastAsia"/>
              <w:noProof/>
              <w:sz w:val="24"/>
              <w:szCs w:val="24"/>
            </w:rPr>
          </w:pPr>
          <w:hyperlink w:anchor="_Toc184122957" w:history="1">
            <w:r w:rsidRPr="002514C4">
              <w:rPr>
                <w:rStyle w:val="Hyperlink"/>
                <w:noProof/>
              </w:rPr>
              <w:t>Night Note</w:t>
            </w:r>
            <w:r>
              <w:rPr>
                <w:noProof/>
                <w:webHidden/>
              </w:rPr>
              <w:tab/>
            </w:r>
            <w:r>
              <w:rPr>
                <w:noProof/>
                <w:webHidden/>
              </w:rPr>
              <w:fldChar w:fldCharType="begin"/>
            </w:r>
            <w:r>
              <w:rPr>
                <w:noProof/>
                <w:webHidden/>
              </w:rPr>
              <w:instrText xml:space="preserve"> PAGEREF _Toc184122957 \h </w:instrText>
            </w:r>
            <w:r>
              <w:rPr>
                <w:noProof/>
                <w:webHidden/>
              </w:rPr>
            </w:r>
            <w:r>
              <w:rPr>
                <w:noProof/>
                <w:webHidden/>
              </w:rPr>
              <w:fldChar w:fldCharType="separate"/>
            </w:r>
            <w:r w:rsidR="00E602A2">
              <w:rPr>
                <w:noProof/>
                <w:webHidden/>
              </w:rPr>
              <w:t>5</w:t>
            </w:r>
            <w:r>
              <w:rPr>
                <w:noProof/>
                <w:webHidden/>
              </w:rPr>
              <w:fldChar w:fldCharType="end"/>
            </w:r>
          </w:hyperlink>
        </w:p>
        <w:p w14:paraId="62DEF6EF" w14:textId="18530492" w:rsidR="00A02980" w:rsidRDefault="00A02980">
          <w:r>
            <w:rPr>
              <w:b/>
              <w:bCs/>
              <w:noProof/>
            </w:rPr>
            <w:fldChar w:fldCharType="end"/>
          </w:r>
        </w:p>
      </w:sdtContent>
    </w:sdt>
    <w:p w14:paraId="6D788B67" w14:textId="77777777" w:rsidR="00B04ABC" w:rsidRDefault="00B04ABC"/>
    <w:p w14:paraId="2B52A770" w14:textId="77777777" w:rsidR="00A02980" w:rsidRDefault="00A02980"/>
    <w:p w14:paraId="78CE5781" w14:textId="77777777" w:rsidR="00A02980" w:rsidRDefault="00A02980"/>
    <w:p w14:paraId="57E6992C" w14:textId="77777777" w:rsidR="00A02980" w:rsidRDefault="00A02980"/>
    <w:p w14:paraId="3DE04002" w14:textId="77777777" w:rsidR="00A02980" w:rsidRDefault="00A02980"/>
    <w:p w14:paraId="43562316" w14:textId="77777777" w:rsidR="00A02980" w:rsidRDefault="00A02980"/>
    <w:p w14:paraId="6800D48F" w14:textId="77777777" w:rsidR="00A02980" w:rsidRDefault="00A02980"/>
    <w:p w14:paraId="017B11B8" w14:textId="77777777" w:rsidR="00A02980" w:rsidRDefault="00A02980"/>
    <w:p w14:paraId="2629A686" w14:textId="77777777" w:rsidR="00A02980" w:rsidRDefault="00A02980"/>
    <w:p w14:paraId="64852759" w14:textId="77777777" w:rsidR="00A02980" w:rsidRDefault="00A02980"/>
    <w:p w14:paraId="2BBF8521" w14:textId="77777777" w:rsidR="00A02980" w:rsidRDefault="00A02980"/>
    <w:p w14:paraId="0CFFB215" w14:textId="77777777" w:rsidR="00A02980" w:rsidRDefault="00A02980"/>
    <w:p w14:paraId="11E8037C" w14:textId="77777777" w:rsidR="00A02980" w:rsidRDefault="00A02980"/>
    <w:p w14:paraId="33248B9C" w14:textId="77777777" w:rsidR="00A02980" w:rsidRDefault="00A02980"/>
    <w:p w14:paraId="2B13D7DB" w14:textId="77777777" w:rsidR="00A02980" w:rsidRDefault="00A02980"/>
    <w:p w14:paraId="20A0E88B" w14:textId="77777777" w:rsidR="00A02980" w:rsidRDefault="00A02980"/>
    <w:p w14:paraId="7469B9B5" w14:textId="77777777" w:rsidR="00A02980" w:rsidRDefault="00A02980"/>
    <w:p w14:paraId="6A323E86" w14:textId="77777777" w:rsidR="00A02980" w:rsidRDefault="00A02980"/>
    <w:p w14:paraId="16AC2C95" w14:textId="77777777" w:rsidR="00A02980" w:rsidRDefault="00A02980"/>
    <w:p w14:paraId="6AB41EE5" w14:textId="77777777" w:rsidR="00A02980" w:rsidRDefault="00A02980"/>
    <w:p w14:paraId="24FDCE34" w14:textId="77777777" w:rsidR="00A02980" w:rsidRDefault="00A02980"/>
    <w:p w14:paraId="1ABD0A66" w14:textId="77777777" w:rsidR="00A02980" w:rsidRDefault="00A02980"/>
    <w:p w14:paraId="2525C3AB" w14:textId="77777777" w:rsidR="00A02980" w:rsidRDefault="00A02980"/>
    <w:p w14:paraId="1D8966D1" w14:textId="0ABAE646" w:rsidR="00CF4725" w:rsidRDefault="006C6EE3" w:rsidP="00CF4725">
      <w:pPr>
        <w:pStyle w:val="Heading1"/>
      </w:pPr>
      <w:bookmarkStart w:id="0" w:name="_Toc184122952"/>
      <w:r>
        <w:t>Open Payments Data Refresh – Rollout Materials</w:t>
      </w:r>
      <w:bookmarkEnd w:id="0"/>
      <w:r>
        <w:t xml:space="preserve"> </w:t>
      </w:r>
    </w:p>
    <w:p w14:paraId="1844C50B" w14:textId="07F63C27" w:rsidR="00A02980" w:rsidRDefault="006C6EE3" w:rsidP="00A02980">
      <w:pPr>
        <w:pStyle w:val="Heading2"/>
        <w:rPr>
          <w:b/>
          <w:bCs/>
          <w:sz w:val="28"/>
          <w:szCs w:val="28"/>
        </w:rPr>
      </w:pPr>
      <w:bookmarkStart w:id="1" w:name="_Toc184122953"/>
      <w:r>
        <w:rPr>
          <w:b/>
          <w:bCs/>
          <w:sz w:val="28"/>
          <w:szCs w:val="28"/>
        </w:rPr>
        <w:t>Rollout Description</w:t>
      </w:r>
      <w:bookmarkEnd w:id="1"/>
    </w:p>
    <w:p w14:paraId="3060C991" w14:textId="69260A26" w:rsidR="006C6EE3" w:rsidRPr="006C6EE3" w:rsidRDefault="006C6EE3" w:rsidP="00C71418">
      <w:pPr>
        <w:pStyle w:val="ListParagraph"/>
        <w:numPr>
          <w:ilvl w:val="0"/>
          <w:numId w:val="7"/>
        </w:numPr>
      </w:pPr>
      <w:r w:rsidRPr="006C6EE3">
        <w:t xml:space="preserve">This is the annual Open Payments data refresh sent with a listserv announcement.  </w:t>
      </w:r>
      <w:r w:rsidRPr="006C6EE3">
        <w:br/>
      </w:r>
      <w:r w:rsidR="00AB2908">
        <w:t>On</w:t>
      </w:r>
      <w:r w:rsidR="00AB2908" w:rsidRPr="006C6EE3">
        <w:t xml:space="preserve"> </w:t>
      </w:r>
      <w:r w:rsidRPr="006C6EE3">
        <w:t xml:space="preserve">January </w:t>
      </w:r>
      <w:r w:rsidR="007C66D7">
        <w:t>23</w:t>
      </w:r>
      <w:r w:rsidR="005525E7" w:rsidRPr="006C6EE3">
        <w:t>, 2026</w:t>
      </w:r>
      <w:r>
        <w:t>,</w:t>
      </w:r>
      <w:r w:rsidRPr="006C6EE3">
        <w:t xml:space="preserve"> the CMS Open Payments team will refresh the Program Year </w:t>
      </w:r>
      <w:r w:rsidR="00C71418">
        <w:t>2018-</w:t>
      </w:r>
      <w:r w:rsidRPr="006C6EE3">
        <w:t>202</w:t>
      </w:r>
      <w:r w:rsidR="007C66D7">
        <w:t>4</w:t>
      </w:r>
      <w:r w:rsidRPr="006C6EE3">
        <w:t xml:space="preserve"> Open Payments data. The refreshed data includes updates made by applicable manufacturers and group purchasing organizations (GPOs) since the data publication on June 30, 202</w:t>
      </w:r>
      <w:r w:rsidR="007C66D7">
        <w:t>5</w:t>
      </w:r>
      <w:r w:rsidRPr="006C6EE3">
        <w:t>. CMS is required to update/ refresh the data at least once annually</w:t>
      </w:r>
      <w:r w:rsidR="00C71418">
        <w:t xml:space="preserve"> (</w:t>
      </w:r>
      <w:r w:rsidR="00C71418" w:rsidRPr="00C71418">
        <w:t>42 CFR 403.908(h)(2)</w:t>
      </w:r>
      <w:r w:rsidR="00C71418">
        <w:t>)</w:t>
      </w:r>
      <w:r w:rsidRPr="006C6EE3">
        <w:t xml:space="preserve">. </w:t>
      </w:r>
    </w:p>
    <w:p w14:paraId="66AD42ED" w14:textId="05937793" w:rsidR="006C6EE3" w:rsidRDefault="006C6EE3" w:rsidP="00CB4062">
      <w:pPr>
        <w:pStyle w:val="Heading3"/>
      </w:pPr>
      <w:bookmarkStart w:id="2" w:name="_Toc184122954"/>
      <w:r>
        <w:t>Reactive Statement</w:t>
      </w:r>
      <w:bookmarkEnd w:id="2"/>
    </w:p>
    <w:p w14:paraId="535E75A9" w14:textId="1CC1DA15" w:rsidR="006C6EE3" w:rsidRPr="006C6EE3" w:rsidRDefault="006C6EE3" w:rsidP="006C6EE3">
      <w:pPr>
        <w:pStyle w:val="ListParagraph"/>
        <w:numPr>
          <w:ilvl w:val="0"/>
          <w:numId w:val="7"/>
        </w:numPr>
      </w:pPr>
      <w:r w:rsidRPr="006C6EE3">
        <w:t xml:space="preserve">We anticipate the reaction to the Open Payments Data Refresh to be neutral to positive. </w:t>
      </w:r>
      <w:r w:rsidR="0019358E">
        <w:br/>
      </w:r>
      <w:r w:rsidRPr="006C6EE3">
        <w:t xml:space="preserve">The data refresh is a standard practice that all stakeholders are familiar </w:t>
      </w:r>
      <w:r w:rsidR="002B29BF" w:rsidRPr="006C6EE3">
        <w:t>with and</w:t>
      </w:r>
      <w:r w:rsidRPr="006C6EE3">
        <w:t xml:space="preserve"> should not raise any concerns. </w:t>
      </w:r>
    </w:p>
    <w:p w14:paraId="242E8B64" w14:textId="365259A8" w:rsidR="006C6EE3" w:rsidRDefault="006C6EE3" w:rsidP="00CB4062">
      <w:pPr>
        <w:pStyle w:val="Heading3"/>
      </w:pPr>
      <w:bookmarkStart w:id="3" w:name="_Toc184122955"/>
      <w:r>
        <w:t xml:space="preserve">Rollout Materials </w:t>
      </w:r>
      <w:r w:rsidR="003F11C7">
        <w:t>Summary</w:t>
      </w:r>
      <w:bookmarkEnd w:id="3"/>
    </w:p>
    <w:p w14:paraId="7F9FF5CF" w14:textId="07FC1F3B" w:rsidR="006C6EE3" w:rsidRDefault="006C6EE3" w:rsidP="006C6EE3">
      <w:pPr>
        <w:pStyle w:val="ListParagraph"/>
        <w:numPr>
          <w:ilvl w:val="0"/>
          <w:numId w:val="7"/>
        </w:numPr>
      </w:pPr>
      <w:r>
        <w:t xml:space="preserve">Listserv Announcement </w:t>
      </w:r>
    </w:p>
    <w:p w14:paraId="4A4243B9" w14:textId="36C031B4" w:rsidR="006C6EE3" w:rsidRDefault="006C6EE3" w:rsidP="006C6EE3">
      <w:pPr>
        <w:pStyle w:val="ListParagraph"/>
        <w:numPr>
          <w:ilvl w:val="1"/>
          <w:numId w:val="7"/>
        </w:numPr>
      </w:pPr>
      <w:r w:rsidRPr="006C6EE3">
        <w:t xml:space="preserve">The Listserv announcement will be provided to the CMS Office of Communications (OC) to serve as </w:t>
      </w:r>
      <w:r w:rsidR="00C71418">
        <w:t xml:space="preserve">a </w:t>
      </w:r>
      <w:r w:rsidRPr="006C6EE3">
        <w:t xml:space="preserve">press release, if needed. </w:t>
      </w:r>
    </w:p>
    <w:p w14:paraId="2AC6CBBD" w14:textId="77777777" w:rsidR="006C6EE3" w:rsidRDefault="006C6EE3" w:rsidP="006C6EE3">
      <w:pPr>
        <w:pStyle w:val="ListParagraph"/>
        <w:numPr>
          <w:ilvl w:val="1"/>
          <w:numId w:val="7"/>
        </w:numPr>
      </w:pPr>
      <w:r w:rsidRPr="006C6EE3">
        <w:t xml:space="preserve">The Open Payments team will send the listserv to </w:t>
      </w:r>
      <w:r>
        <w:t xml:space="preserve">the Open Payments listserv </w:t>
      </w:r>
      <w:r w:rsidRPr="006C6EE3">
        <w:t xml:space="preserve">subscribers when the data </w:t>
      </w:r>
      <w:r>
        <w:t xml:space="preserve">refresh </w:t>
      </w:r>
      <w:r w:rsidRPr="006C6EE3">
        <w:t xml:space="preserve">publication is live. </w:t>
      </w:r>
    </w:p>
    <w:p w14:paraId="7F473FAE" w14:textId="3BD63F4D" w:rsidR="006C6EE3" w:rsidRPr="006C6EE3" w:rsidRDefault="006C6EE3" w:rsidP="006C6EE3">
      <w:pPr>
        <w:pStyle w:val="ListParagraph"/>
        <w:numPr>
          <w:ilvl w:val="1"/>
          <w:numId w:val="7"/>
        </w:numPr>
      </w:pPr>
      <w:r w:rsidRPr="006C6EE3">
        <w:t>The listserv will also be provided as the required “Report to States”</w:t>
      </w:r>
      <w:r w:rsidR="00C71418">
        <w:t xml:space="preserve"> (SSA </w:t>
      </w:r>
      <w:r w:rsidR="00C71418" w:rsidRPr="00C71418">
        <w:t>Sec. </w:t>
      </w:r>
      <w:bookmarkStart w:id="4" w:name="act-1128g"/>
      <w:r w:rsidR="00C71418" w:rsidRPr="00C71418">
        <w:t>112</w:t>
      </w:r>
      <w:bookmarkEnd w:id="4"/>
      <w:r w:rsidR="00C71418">
        <w:t>8G(d)(2))</w:t>
      </w:r>
      <w:r w:rsidRPr="006C6EE3">
        <w:t>.</w:t>
      </w:r>
    </w:p>
    <w:p w14:paraId="6B62F8BC" w14:textId="77777777" w:rsidR="006C6EE3" w:rsidRDefault="006C6EE3" w:rsidP="006C6EE3">
      <w:pPr>
        <w:pStyle w:val="ListParagraph"/>
        <w:numPr>
          <w:ilvl w:val="0"/>
          <w:numId w:val="7"/>
        </w:numPr>
      </w:pPr>
      <w:r w:rsidRPr="006C6EE3">
        <w:t xml:space="preserve">Additionally, the CMS Open Payments team is providing a Night Note. </w:t>
      </w:r>
    </w:p>
    <w:p w14:paraId="7DF659A0" w14:textId="77777777" w:rsidR="00933519" w:rsidRDefault="00933519" w:rsidP="00933519"/>
    <w:p w14:paraId="1AEF5C29" w14:textId="77777777" w:rsidR="00933519" w:rsidRDefault="00933519" w:rsidP="00933519"/>
    <w:p w14:paraId="424BF7D3" w14:textId="77777777" w:rsidR="00933519" w:rsidRDefault="00933519" w:rsidP="00933519"/>
    <w:p w14:paraId="3CAE0017" w14:textId="77777777" w:rsidR="00933519" w:rsidRDefault="00933519" w:rsidP="00933519"/>
    <w:p w14:paraId="74BF4FC1" w14:textId="77777777" w:rsidR="00933519" w:rsidRDefault="00933519" w:rsidP="00933519"/>
    <w:p w14:paraId="103BACE3" w14:textId="77777777" w:rsidR="00933519" w:rsidRDefault="00933519" w:rsidP="00933519"/>
    <w:p w14:paraId="78C28C6A" w14:textId="77777777" w:rsidR="00933519" w:rsidRDefault="00933519" w:rsidP="00933519"/>
    <w:p w14:paraId="6F620D3D" w14:textId="77777777" w:rsidR="00933519" w:rsidRDefault="00933519" w:rsidP="00933519">
      <w:bookmarkStart w:id="5" w:name="_Hlk216869715"/>
    </w:p>
    <w:p w14:paraId="6330627F" w14:textId="50170C32" w:rsidR="00CB4062" w:rsidRPr="00EA3F9D" w:rsidRDefault="00CB4062" w:rsidP="00EA3F9D">
      <w:pPr>
        <w:pStyle w:val="Heading2"/>
        <w:rPr>
          <w:sz w:val="28"/>
          <w:szCs w:val="28"/>
        </w:rPr>
      </w:pPr>
      <w:bookmarkStart w:id="6" w:name="_Toc184122956"/>
      <w:r w:rsidRPr="00EA3F9D">
        <w:rPr>
          <w:sz w:val="28"/>
          <w:szCs w:val="28"/>
        </w:rPr>
        <w:t>Listserv Announcement</w:t>
      </w:r>
      <w:bookmarkEnd w:id="6"/>
      <w:r w:rsidRPr="00EA3F9D">
        <w:rPr>
          <w:sz w:val="28"/>
          <w:szCs w:val="28"/>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B4062" w:rsidRPr="003C6547" w14:paraId="1FD30CC5" w14:textId="77777777" w:rsidTr="00E22511">
        <w:trPr>
          <w:tblCellSpacing w:w="0" w:type="dxa"/>
          <w:jc w:val="center"/>
        </w:trPr>
        <w:tc>
          <w:tcPr>
            <w:tcW w:w="10500" w:type="dxa"/>
            <w:shd w:val="clear" w:color="auto" w:fill="EEEEEE"/>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4062" w:rsidRPr="003C6547" w14:paraId="2F1CC90F" w14:textId="77777777" w:rsidTr="00E22511">
              <w:trPr>
                <w:jc w:val="center"/>
              </w:trPr>
              <w:tc>
                <w:tcPr>
                  <w:tcW w:w="9000" w:type="dxa"/>
                  <w:tcBorders>
                    <w:top w:val="nil"/>
                    <w:left w:val="nil"/>
                    <w:bottom w:val="nil"/>
                    <w:right w:val="nil"/>
                  </w:tcBorders>
                  <w:shd w:val="clear" w:color="auto" w:fill="FFFFFF"/>
                  <w:tcMar>
                    <w:top w:w="75" w:type="dxa"/>
                    <w:left w:w="75" w:type="dxa"/>
                    <w:bottom w:w="75" w:type="dxa"/>
                    <w:right w:w="75" w:type="dxa"/>
                  </w:tcMar>
                  <w:hideMark/>
                </w:tcPr>
                <w:p w14:paraId="7239D13B" w14:textId="77777777" w:rsidR="00CB4062" w:rsidRPr="003C6547" w:rsidRDefault="00CB4062" w:rsidP="00E22511">
                  <w:r w:rsidRPr="003C6547">
                    <w:rPr>
                      <w:noProof/>
                    </w:rPr>
                    <w:drawing>
                      <wp:inline distT="0" distB="0" distL="0" distR="0" wp14:anchorId="67333587" wp14:editId="3299573B">
                        <wp:extent cx="5619750" cy="984885"/>
                        <wp:effectExtent l="0" t="0" r="0" b="5715"/>
                        <wp:docPr id="1538171065" name="Picture 1" descr="Centers for Medicare &amp;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s for Medicare &amp; Medicaid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984885"/>
                                </a:xfrm>
                                <a:prstGeom prst="rect">
                                  <a:avLst/>
                                </a:prstGeom>
                                <a:noFill/>
                                <a:ln>
                                  <a:noFill/>
                                </a:ln>
                              </pic:spPr>
                            </pic:pic>
                          </a:graphicData>
                        </a:graphic>
                      </wp:inline>
                    </w:drawing>
                  </w:r>
                </w:p>
              </w:tc>
            </w:tr>
            <w:tr w:rsidR="00CB4062" w:rsidRPr="003C6547" w14:paraId="1A8263F9" w14:textId="77777777" w:rsidTr="00E22511">
              <w:trPr>
                <w:jc w:val="center"/>
              </w:trPr>
              <w:tc>
                <w:tcPr>
                  <w:tcW w:w="9000" w:type="dxa"/>
                  <w:tcBorders>
                    <w:top w:val="nil"/>
                    <w:left w:val="nil"/>
                    <w:bottom w:val="nil"/>
                    <w:right w:val="nil"/>
                  </w:tcBorders>
                  <w:shd w:val="clear" w:color="auto" w:fill="FFFFFF"/>
                  <w:tcMar>
                    <w:top w:w="75" w:type="dxa"/>
                    <w:left w:w="75" w:type="dxa"/>
                    <w:bottom w:w="75" w:type="dxa"/>
                    <w:right w:w="75" w:type="dxa"/>
                  </w:tcMar>
                  <w:hideMark/>
                </w:tcPr>
                <w:p w14:paraId="7E5A2255" w14:textId="77777777" w:rsidR="00CB4062" w:rsidRPr="003C6547" w:rsidRDefault="00CB4062" w:rsidP="00CB4062">
                  <w:pPr>
                    <w:numPr>
                      <w:ilvl w:val="0"/>
                      <w:numId w:val="10"/>
                    </w:numPr>
                  </w:pPr>
                  <w:hyperlink r:id="rId12" w:anchor="link_1401890357583" w:history="1">
                    <w:r w:rsidRPr="003C6547">
                      <w:rPr>
                        <w:rStyle w:val="Hyperlink"/>
                      </w:rPr>
                      <w:t>CMS Updates Open Payments Data</w:t>
                    </w:r>
                  </w:hyperlink>
                </w:p>
                <w:p w14:paraId="62E40792" w14:textId="77777777" w:rsidR="00CB4062" w:rsidRPr="003C6547" w:rsidRDefault="00CB4062" w:rsidP="00CB4062">
                  <w:pPr>
                    <w:numPr>
                      <w:ilvl w:val="0"/>
                      <w:numId w:val="10"/>
                    </w:numPr>
                  </w:pPr>
                  <w:hyperlink r:id="rId13" w:anchor="link_1401890465019" w:history="1">
                    <w:r w:rsidRPr="003C6547">
                      <w:rPr>
                        <w:rStyle w:val="Hyperlink"/>
                      </w:rPr>
                      <w:t>Questions - Contact the Open Payments Help Desk</w:t>
                    </w:r>
                  </w:hyperlink>
                </w:p>
                <w:p w14:paraId="61034D12" w14:textId="77777777" w:rsidR="00CB4062" w:rsidRPr="003C6547" w:rsidRDefault="00CB4062" w:rsidP="00E22511">
                  <w:pPr>
                    <w:rPr>
                      <w:b/>
                      <w:bCs/>
                    </w:rPr>
                  </w:pPr>
                  <w:bookmarkStart w:id="7" w:name="link_1401890357583"/>
                  <w:r w:rsidRPr="003C6547">
                    <w:rPr>
                      <w:b/>
                      <w:bCs/>
                    </w:rPr>
                    <w:t>CMS Updates Open Payments Data</w:t>
                  </w:r>
                  <w:bookmarkEnd w:id="7"/>
                </w:p>
                <w:p w14:paraId="56B08DFE" w14:textId="59204053" w:rsidR="00CB4062" w:rsidRPr="003C6547" w:rsidRDefault="00CB4062" w:rsidP="00E22511">
                  <w:r w:rsidRPr="003C6547">
                    <w:t xml:space="preserve">The Open Payments data </w:t>
                  </w:r>
                  <w:r w:rsidR="00587582">
                    <w:t>is</w:t>
                  </w:r>
                  <w:r w:rsidRPr="003C6547">
                    <w:t xml:space="preserve"> updated to reflect changes that took place since the June 202</w:t>
                  </w:r>
                  <w:r w:rsidR="007C66D7">
                    <w:t>5</w:t>
                  </w:r>
                  <w:r w:rsidR="00587582">
                    <w:t xml:space="preserve"> publication</w:t>
                  </w:r>
                  <w:r w:rsidRPr="003C6547">
                    <w:t>. The updated dataset is available at </w:t>
                  </w:r>
                  <w:hyperlink r:id="rId14" w:history="1">
                    <w:r w:rsidRPr="003C6547">
                      <w:rPr>
                        <w:rStyle w:val="Hyperlink"/>
                      </w:rPr>
                      <w:t>https://openpaymentsdata.cms.gov/</w:t>
                    </w:r>
                  </w:hyperlink>
                  <w:r w:rsidRPr="003C6547">
                    <w:t>.</w:t>
                  </w:r>
                </w:p>
                <w:p w14:paraId="20C9BFA4" w14:textId="40D795D4" w:rsidR="00175468" w:rsidRDefault="00CB4062" w:rsidP="00E22511">
                  <w:r w:rsidRPr="003C6547">
                    <w:t>The Open Payments data is refreshed</w:t>
                  </w:r>
                  <w:r w:rsidR="00DB400F">
                    <w:t xml:space="preserve"> once </w:t>
                  </w:r>
                  <w:r w:rsidRPr="003C6547">
                    <w:t>annually to include updates from disputes and other data corrections made since the initial data publication. </w:t>
                  </w:r>
                </w:p>
                <w:p w14:paraId="4E443D09" w14:textId="3628431D" w:rsidR="00CB4062" w:rsidRPr="003C6547" w:rsidRDefault="00CB4062" w:rsidP="00E22511">
                  <w:r w:rsidRPr="003C6547">
                    <w:t xml:space="preserve">The refreshed Open Payments </w:t>
                  </w:r>
                  <w:r w:rsidR="00DB400F" w:rsidRPr="003C6547">
                    <w:t xml:space="preserve">data </w:t>
                  </w:r>
                  <w:r w:rsidR="00DB400F">
                    <w:t>reflects</w:t>
                  </w:r>
                  <w:r w:rsidR="00175468">
                    <w:t xml:space="preserve"> the following</w:t>
                  </w:r>
                  <w:r w:rsidRPr="003C6547">
                    <w:t>:</w:t>
                  </w:r>
                </w:p>
                <w:p w14:paraId="4BBD109C" w14:textId="791482D9" w:rsidR="00EC3394" w:rsidRDefault="00CB4062" w:rsidP="00CB4062">
                  <w:pPr>
                    <w:numPr>
                      <w:ilvl w:val="0"/>
                      <w:numId w:val="11"/>
                    </w:numPr>
                  </w:pPr>
                  <w:r w:rsidRPr="003C6547">
                    <w:rPr>
                      <w:b/>
                      <w:bCs/>
                    </w:rPr>
                    <w:t>Record Updates:</w:t>
                  </w:r>
                  <w:r w:rsidRPr="003C6547">
                    <w:t> </w:t>
                  </w:r>
                </w:p>
                <w:p w14:paraId="2AE67476" w14:textId="27B7A837" w:rsidR="00CB4062" w:rsidRPr="003C6547" w:rsidRDefault="00CB4062" w:rsidP="00DB400F">
                  <w:pPr>
                    <w:numPr>
                      <w:ilvl w:val="1"/>
                      <w:numId w:val="11"/>
                    </w:numPr>
                  </w:pPr>
                  <w:r w:rsidRPr="003C6547">
                    <w:t>Changes to non-disputed records made on or before November 15, 202</w:t>
                  </w:r>
                  <w:r w:rsidR="007C66D7">
                    <w:t>5</w:t>
                  </w:r>
                  <w:r w:rsidRPr="003C6547">
                    <w:t>, are published.</w:t>
                  </w:r>
                </w:p>
                <w:p w14:paraId="03512C90" w14:textId="77777777" w:rsidR="00DB400F" w:rsidRDefault="00CB4062" w:rsidP="00DB400F">
                  <w:pPr>
                    <w:numPr>
                      <w:ilvl w:val="0"/>
                      <w:numId w:val="11"/>
                    </w:numPr>
                  </w:pPr>
                  <w:r w:rsidRPr="003C6547">
                    <w:rPr>
                      <w:b/>
                      <w:bCs/>
                    </w:rPr>
                    <w:t>Disputed Records:</w:t>
                  </w:r>
                  <w:r w:rsidRPr="003C6547">
                    <w:t> </w:t>
                  </w:r>
                </w:p>
                <w:p w14:paraId="6ED352D2" w14:textId="77777777" w:rsidR="00DB400F" w:rsidRDefault="00CB4062" w:rsidP="00DB400F">
                  <w:pPr>
                    <w:numPr>
                      <w:ilvl w:val="1"/>
                      <w:numId w:val="11"/>
                    </w:numPr>
                  </w:pPr>
                  <w:r w:rsidRPr="003C6547">
                    <w:t>Dispute resolutions completed on or before December 31, 202</w:t>
                  </w:r>
                  <w:r w:rsidR="007C66D7">
                    <w:t>5</w:t>
                  </w:r>
                  <w:r w:rsidR="00DB400F">
                    <w:t>,</w:t>
                  </w:r>
                  <w:r w:rsidRPr="003C6547">
                    <w:t xml:space="preserve"> are displayed with the updated information. </w:t>
                  </w:r>
                </w:p>
                <w:p w14:paraId="660EA5D0" w14:textId="482C8411" w:rsidR="00CB4062" w:rsidRPr="003C6547" w:rsidRDefault="00CB4062" w:rsidP="00DB400F">
                  <w:pPr>
                    <w:numPr>
                      <w:ilvl w:val="1"/>
                      <w:numId w:val="11"/>
                    </w:numPr>
                  </w:pPr>
                  <w:r w:rsidRPr="003C6547">
                    <w:t>Records with active disputes that were not resolved by December 31, 202</w:t>
                  </w:r>
                  <w:r w:rsidR="007C66D7">
                    <w:t>5</w:t>
                  </w:r>
                  <w:r w:rsidRPr="003C6547">
                    <w:t>, are displayed as disputed.</w:t>
                  </w:r>
                </w:p>
                <w:p w14:paraId="5AFBF953" w14:textId="26BDB58B" w:rsidR="00CB4062" w:rsidRPr="003C6547" w:rsidRDefault="00CB4062" w:rsidP="00D93429">
                  <w:pPr>
                    <w:numPr>
                      <w:ilvl w:val="0"/>
                      <w:numId w:val="11"/>
                    </w:numPr>
                  </w:pPr>
                  <w:r w:rsidRPr="00EC3394">
                    <w:rPr>
                      <w:b/>
                      <w:bCs/>
                    </w:rPr>
                    <w:t>Record Deletions:</w:t>
                  </w:r>
                  <w:r w:rsidRPr="003C6547">
                    <w:t> Records deleted before December 31, 202</w:t>
                  </w:r>
                  <w:r w:rsidR="007C66D7">
                    <w:t>5</w:t>
                  </w:r>
                  <w:r w:rsidRPr="003C6547">
                    <w:t xml:space="preserve">, </w:t>
                  </w:r>
                  <w:r w:rsidR="00EC3394">
                    <w:t>are</w:t>
                  </w:r>
                  <w:r w:rsidR="00EC3394" w:rsidRPr="003C6547">
                    <w:t xml:space="preserve"> </w:t>
                  </w:r>
                  <w:r w:rsidRPr="003C6547">
                    <w:t xml:space="preserve">removed from the Open Payments </w:t>
                  </w:r>
                  <w:r w:rsidR="00922F50">
                    <w:t>published dataset</w:t>
                  </w:r>
                  <w:r w:rsidRPr="003C6547">
                    <w:t>. Records deleted after December 31, 202</w:t>
                  </w:r>
                  <w:r w:rsidR="007C66D7">
                    <w:t>5</w:t>
                  </w:r>
                  <w:r w:rsidRPr="003C6547">
                    <w:t xml:space="preserve">, remained in the </w:t>
                  </w:r>
                  <w:r w:rsidR="00922F50">
                    <w:t>published dataset</w:t>
                  </w:r>
                  <w:r w:rsidRPr="003C6547">
                    <w:t>, but will be removed during the next data publication in June 202</w:t>
                  </w:r>
                  <w:r w:rsidR="007C66D7">
                    <w:t>6</w:t>
                  </w:r>
                  <w:r w:rsidRPr="003C6547">
                    <w:t>.</w:t>
                  </w:r>
                </w:p>
                <w:p w14:paraId="0F98BA0D" w14:textId="5FF6387B" w:rsidR="00CB4062" w:rsidRPr="003C6547" w:rsidRDefault="00CB4062" w:rsidP="00175468">
                  <w:r w:rsidRPr="003C6547">
                    <w:t>The following is </w:t>
                  </w:r>
                  <w:r w:rsidRPr="00EC3394">
                    <w:rPr>
                      <w:b/>
                      <w:bCs/>
                    </w:rPr>
                    <w:t>not included</w:t>
                  </w:r>
                  <w:r w:rsidRPr="003C6547">
                    <w:t> in the data refresh:</w:t>
                  </w:r>
                </w:p>
                <w:p w14:paraId="7126307A" w14:textId="7677432E" w:rsidR="00CB4062" w:rsidRPr="003C6547" w:rsidRDefault="00CB4062" w:rsidP="00CB4062">
                  <w:pPr>
                    <w:numPr>
                      <w:ilvl w:val="0"/>
                      <w:numId w:val="12"/>
                    </w:numPr>
                  </w:pPr>
                  <w:r w:rsidRPr="003C6547">
                    <w:t xml:space="preserve">Any records </w:t>
                  </w:r>
                  <w:r w:rsidR="00DB400F">
                    <w:t>attested to after March 31, 2025</w:t>
                  </w:r>
                  <w:r w:rsidR="00C73196">
                    <w:t>.</w:t>
                  </w:r>
                </w:p>
                <w:p w14:paraId="611EBB85" w14:textId="0AFA3F5D" w:rsidR="00CB4062" w:rsidRDefault="00CB4062" w:rsidP="00CB4062">
                  <w:pPr>
                    <w:numPr>
                      <w:ilvl w:val="0"/>
                      <w:numId w:val="12"/>
                    </w:numPr>
                  </w:pPr>
                  <w:r w:rsidRPr="003C6547">
                    <w:t xml:space="preserve">Any </w:t>
                  </w:r>
                  <w:r w:rsidR="00AA52C7">
                    <w:t>disputed records in which the</w:t>
                  </w:r>
                  <w:r w:rsidRPr="003C6547">
                    <w:t xml:space="preserve"> resolution resulted in a change to the covered recipient.</w:t>
                  </w:r>
                </w:p>
                <w:p w14:paraId="5F62365C" w14:textId="7F9F74BB" w:rsidR="00175468" w:rsidRDefault="00175468" w:rsidP="00CB4062">
                  <w:pPr>
                    <w:numPr>
                      <w:ilvl w:val="0"/>
                      <w:numId w:val="12"/>
                    </w:numPr>
                  </w:pPr>
                  <w:r>
                    <w:t>Changes made to non-disputed records after November 15, 2025.</w:t>
                  </w:r>
                </w:p>
                <w:p w14:paraId="2E087E6C" w14:textId="1F6217B6" w:rsidR="00175468" w:rsidRPr="003C6547" w:rsidRDefault="00175468" w:rsidP="00CB4062">
                  <w:pPr>
                    <w:numPr>
                      <w:ilvl w:val="0"/>
                      <w:numId w:val="12"/>
                    </w:numPr>
                  </w:pPr>
                  <w:r>
                    <w:t>Changes made to disputed records after December 31, 2025.</w:t>
                  </w:r>
                </w:p>
                <w:p w14:paraId="730CB940" w14:textId="6F178646" w:rsidR="00CB4062" w:rsidRPr="003C6547" w:rsidRDefault="00CB4062" w:rsidP="00E22511"/>
                <w:p w14:paraId="0C94785F" w14:textId="5B083938" w:rsidR="00CB4062" w:rsidRPr="003C6547" w:rsidRDefault="00CB4062" w:rsidP="00E22511">
                  <w:r w:rsidRPr="003C6547">
                    <w:t>Applicable manufacturers and group purchasing organizations (GPOs) submitted the Open Payments data; CMS publishes the data as received and does not alter the data in any way.</w:t>
                  </w:r>
                  <w:r w:rsidR="009608A3">
                    <w:br/>
                  </w:r>
                  <w:r w:rsidR="00CD5D46">
                    <w:br/>
                    <w:t xml:space="preserve">For more information about Open Payments data publication, visit </w:t>
                  </w:r>
                  <w:hyperlink r:id="rId15" w:history="1">
                    <w:r w:rsidR="00CD5D46" w:rsidRPr="009D750C">
                      <w:rPr>
                        <w:rStyle w:val="Hyperlink"/>
                      </w:rPr>
                      <w:t>www.cms.gov/openpayments</w:t>
                    </w:r>
                  </w:hyperlink>
                  <w:r w:rsidR="00CD5D46">
                    <w:t xml:space="preserve">. </w:t>
                  </w:r>
                  <w:r w:rsidR="00CD5D46">
                    <w:br/>
                  </w:r>
                  <w:r w:rsidR="000C3C7E">
                    <w:br/>
                  </w:r>
                  <w:hyperlink r:id="rId16" w:anchor="gd_top" w:history="1">
                    <w:r w:rsidRPr="003C6547">
                      <w:rPr>
                        <w:rStyle w:val="Hyperlink"/>
                        <w:b/>
                        <w:bCs/>
                      </w:rPr>
                      <w:t>(Back to top)</w:t>
                    </w:r>
                  </w:hyperlink>
                </w:p>
                <w:tbl>
                  <w:tblPr>
                    <w:tblW w:w="5000" w:type="pct"/>
                    <w:jc w:val="center"/>
                    <w:tblCellMar>
                      <w:top w:w="75" w:type="dxa"/>
                      <w:left w:w="75" w:type="dxa"/>
                      <w:bottom w:w="75" w:type="dxa"/>
                      <w:right w:w="75" w:type="dxa"/>
                    </w:tblCellMar>
                    <w:tblLook w:val="04A0" w:firstRow="1" w:lastRow="0" w:firstColumn="1" w:lastColumn="0" w:noHBand="0" w:noVBand="1"/>
                  </w:tblPr>
                  <w:tblGrid>
                    <w:gridCol w:w="8850"/>
                  </w:tblGrid>
                  <w:tr w:rsidR="00CB4062" w:rsidRPr="003C6547" w14:paraId="7A8B5077" w14:textId="77777777" w:rsidTr="00E22511">
                    <w:trPr>
                      <w:jc w:val="center"/>
                    </w:trPr>
                    <w:tc>
                      <w:tcPr>
                        <w:tcW w:w="5000" w:type="pct"/>
                        <w:hideMark/>
                      </w:tcPr>
                      <w:p w14:paraId="36DA94CD" w14:textId="77777777" w:rsidR="00CB4062" w:rsidRPr="003C6547" w:rsidRDefault="00000000" w:rsidP="00E22511">
                        <w:r>
                          <w:rPr>
                            <w:noProof/>
                          </w:rPr>
                          <w:pict w14:anchorId="428F8C4E">
                            <v:rect id="_x0000_i1025" alt="" style="width:468pt;height:.05pt;mso-width-percent:0;mso-height-percent:0;mso-width-percent:0;mso-height-percent:0" o:hralign="center" o:hrstd="t" o:hr="t" fillcolor="#a0a0a0" stroked="f"/>
                          </w:pict>
                        </w:r>
                      </w:p>
                    </w:tc>
                  </w:tr>
                </w:tbl>
                <w:p w14:paraId="4D9AD6D2" w14:textId="77777777" w:rsidR="00CB4062" w:rsidRPr="003C6547" w:rsidRDefault="00CB4062" w:rsidP="00E22511">
                  <w:pPr>
                    <w:rPr>
                      <w:b/>
                      <w:bCs/>
                    </w:rPr>
                  </w:pPr>
                  <w:bookmarkStart w:id="8" w:name="link_1401890465019"/>
                  <w:r w:rsidRPr="003C6547">
                    <w:rPr>
                      <w:b/>
                      <w:bCs/>
                    </w:rPr>
                    <w:t>Questions - Contact the Open Payments Help Desk</w:t>
                  </w:r>
                  <w:bookmarkEnd w:id="8"/>
                </w:p>
                <w:p w14:paraId="48301E37" w14:textId="77777777" w:rsidR="00CB4062" w:rsidRPr="003C6547" w:rsidRDefault="00CB4062" w:rsidP="00E22511">
                  <w:r w:rsidRPr="003C6547">
                    <w:t>Submit questions to the Help Desk via email at </w:t>
                  </w:r>
                  <w:hyperlink r:id="rId17" w:history="1">
                    <w:r w:rsidRPr="003C6547">
                      <w:rPr>
                        <w:rStyle w:val="Hyperlink"/>
                      </w:rPr>
                      <w:t>openpayments@cms.hhs.gov</w:t>
                    </w:r>
                  </w:hyperlink>
                  <w:r w:rsidRPr="003C6547">
                    <w:t> or by calling 1-855-326-8366 (TTY Line: 1-844-649-2766), Monday through Friday, from 9:00 a.m. to 5:00 p.m. (ET), excluding Federal holidays.</w:t>
                  </w:r>
                </w:p>
                <w:p w14:paraId="0EF53A71" w14:textId="2D0D324A" w:rsidR="00CB4062" w:rsidRPr="003C6547" w:rsidRDefault="00CB4062" w:rsidP="00E22511">
                  <w:r w:rsidRPr="003C6547">
                    <w:t>The Help Desk refers media inquiries to CMS’ Press Office for response. </w:t>
                  </w:r>
                  <w:r w:rsidR="00CD5D46">
                    <w:br/>
                  </w:r>
                  <w:r w:rsidR="00CD5D46">
                    <w:br/>
                  </w:r>
                  <w:hyperlink r:id="rId18" w:anchor="gd_top" w:history="1">
                    <w:r w:rsidRPr="003C6547">
                      <w:rPr>
                        <w:rStyle w:val="Hyperlink"/>
                        <w:b/>
                        <w:bCs/>
                      </w:rPr>
                      <w:t>(Back to top)</w:t>
                    </w:r>
                  </w:hyperlink>
                </w:p>
                <w:tbl>
                  <w:tblPr>
                    <w:tblW w:w="5000" w:type="pct"/>
                    <w:jc w:val="center"/>
                    <w:tblCellMar>
                      <w:top w:w="75" w:type="dxa"/>
                      <w:left w:w="75" w:type="dxa"/>
                      <w:bottom w:w="75" w:type="dxa"/>
                      <w:right w:w="75" w:type="dxa"/>
                    </w:tblCellMar>
                    <w:tblLook w:val="04A0" w:firstRow="1" w:lastRow="0" w:firstColumn="1" w:lastColumn="0" w:noHBand="0" w:noVBand="1"/>
                  </w:tblPr>
                  <w:tblGrid>
                    <w:gridCol w:w="8850"/>
                  </w:tblGrid>
                  <w:tr w:rsidR="00CB4062" w:rsidRPr="003C6547" w14:paraId="6E80ABDB" w14:textId="77777777" w:rsidTr="00E22511">
                    <w:trPr>
                      <w:jc w:val="center"/>
                    </w:trPr>
                    <w:tc>
                      <w:tcPr>
                        <w:tcW w:w="5000" w:type="pct"/>
                        <w:hideMark/>
                      </w:tcPr>
                      <w:p w14:paraId="70CFC9E1" w14:textId="77777777" w:rsidR="00CB4062" w:rsidRPr="003C6547" w:rsidRDefault="00000000" w:rsidP="00E22511">
                        <w:r>
                          <w:rPr>
                            <w:noProof/>
                          </w:rPr>
                          <w:pict w14:anchorId="29420BAB">
                            <v:rect id="_x0000_i1026" alt="" style="width:468pt;height:.05pt;mso-width-percent:0;mso-height-percent:0;mso-width-percent:0;mso-height-percent:0" o:hralign="center" o:hrstd="t" o:hr="t" fillcolor="#a0a0a0" stroked="f"/>
                          </w:pict>
                        </w:r>
                      </w:p>
                    </w:tc>
                  </w:tr>
                </w:tbl>
                <w:p w14:paraId="594DD8C8" w14:textId="77777777" w:rsidR="00CB4062" w:rsidRPr="003C6547" w:rsidRDefault="00CB4062" w:rsidP="00E22511">
                  <w:pPr>
                    <w:rPr>
                      <w:b/>
                      <w:bCs/>
                    </w:rPr>
                  </w:pPr>
                  <w:r w:rsidRPr="003C6547">
                    <w:rPr>
                      <w:b/>
                      <w:bCs/>
                      <w:i/>
                      <w:iCs/>
                    </w:rPr>
                    <w:t>Creating Public Transparency of Industry-Provider Financial Relationships.</w:t>
                  </w:r>
                </w:p>
              </w:tc>
            </w:tr>
            <w:tr w:rsidR="00CB4062" w:rsidRPr="003C6547" w14:paraId="60F36D05" w14:textId="77777777" w:rsidTr="00E22511">
              <w:trPr>
                <w:jc w:val="center"/>
              </w:trPr>
              <w:tc>
                <w:tcPr>
                  <w:tcW w:w="9000" w:type="dxa"/>
                  <w:tcBorders>
                    <w:top w:val="nil"/>
                    <w:left w:val="nil"/>
                    <w:bottom w:val="nil"/>
                    <w:right w:val="nil"/>
                  </w:tcBorders>
                  <w:shd w:val="clear" w:color="auto" w:fill="283B82"/>
                  <w:tcMar>
                    <w:top w:w="75" w:type="dxa"/>
                    <w:left w:w="75" w:type="dxa"/>
                    <w:bottom w:w="75" w:type="dxa"/>
                    <w:right w:w="75" w:type="dxa"/>
                  </w:tcMar>
                  <w:hideMark/>
                </w:tcPr>
                <w:p w14:paraId="17420FD7" w14:textId="77777777" w:rsidR="00CB4062" w:rsidRPr="00261BD2" w:rsidRDefault="00CB4062" w:rsidP="00E22511">
                  <w:pPr>
                    <w:rPr>
                      <w:color w:val="FFFFFF" w:themeColor="background1"/>
                    </w:rPr>
                  </w:pPr>
                  <w:r w:rsidRPr="00261BD2">
                    <w:rPr>
                      <w:color w:val="FFFFFF" w:themeColor="background1"/>
                    </w:rPr>
                    <w:t>Centers for Medicare &amp; Medicaid Services (CMS) has sent this update.</w:t>
                  </w:r>
                </w:p>
                <w:p w14:paraId="5C66706A" w14:textId="77777777" w:rsidR="00CB4062" w:rsidRPr="003C6547" w:rsidRDefault="00CB4062" w:rsidP="00E22511">
                  <w:r w:rsidRPr="00261BD2">
                    <w:rPr>
                      <w:color w:val="FFFFFF" w:themeColor="background1"/>
                    </w:rPr>
                    <w:t>To contact CMS go to our </w:t>
                  </w:r>
                  <w:hyperlink r:id="rId19" w:history="1">
                    <w:r w:rsidRPr="00261BD2">
                      <w:rPr>
                        <w:rStyle w:val="Hyperlink"/>
                        <w:b/>
                        <w:bCs/>
                        <w:color w:val="FFFFFF" w:themeColor="background1"/>
                      </w:rPr>
                      <w:t>Contact Us</w:t>
                    </w:r>
                  </w:hyperlink>
                  <w:r w:rsidRPr="00261BD2">
                    <w:rPr>
                      <w:color w:val="FFFFFF" w:themeColor="background1"/>
                    </w:rPr>
                    <w:t> page.</w:t>
                  </w:r>
                </w:p>
              </w:tc>
            </w:tr>
          </w:tbl>
          <w:p w14:paraId="75AA42D6" w14:textId="77777777" w:rsidR="00CB4062" w:rsidRPr="003C6547" w:rsidRDefault="00CB4062" w:rsidP="00E22511"/>
        </w:tc>
      </w:tr>
    </w:tbl>
    <w:p w14:paraId="7E9DB34F" w14:textId="77777777" w:rsidR="00CB4062" w:rsidRPr="003C6547" w:rsidRDefault="00CB4062" w:rsidP="00CB4062">
      <w:pPr>
        <w:rPr>
          <w:vanish/>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9645"/>
      </w:tblGrid>
      <w:tr w:rsidR="00CB4062" w:rsidRPr="003C6547" w14:paraId="7C370E79" w14:textId="77777777" w:rsidTr="00E22511">
        <w:trPr>
          <w:jc w:val="center"/>
        </w:trPr>
        <w:tc>
          <w:tcPr>
            <w:tcW w:w="9583" w:type="dxa"/>
            <w:vAlign w:val="center"/>
            <w:hideMark/>
          </w:tcPr>
          <w:p w14:paraId="02F4E46D" w14:textId="77777777" w:rsidR="00CB4062" w:rsidRPr="003C6547" w:rsidRDefault="00000000" w:rsidP="00E22511">
            <w:r>
              <w:rPr>
                <w:noProof/>
              </w:rPr>
              <w:pict w14:anchorId="6EB38B2B">
                <v:rect id="_x0000_i1027" alt="" style="width:468pt;height:.05pt;mso-width-percent:0;mso-height-percent:0;mso-width-percent:0;mso-height-percent:0" o:hralign="center" o:hrstd="t" o:hr="t" fillcolor="#a0a0a0" stroked="f"/>
              </w:pict>
            </w:r>
          </w:p>
          <w:p w14:paraId="07EBCD7E" w14:textId="77777777" w:rsidR="00CB4062" w:rsidRPr="003C6547" w:rsidRDefault="00CB4062" w:rsidP="00E22511"/>
        </w:tc>
      </w:tr>
    </w:tbl>
    <w:p w14:paraId="52B4422B" w14:textId="77777777" w:rsidR="00CB4062" w:rsidRDefault="00CB4062" w:rsidP="00CB4062"/>
    <w:p w14:paraId="0C634B6C" w14:textId="77777777" w:rsidR="0097756A" w:rsidRDefault="0097756A" w:rsidP="00EA3F9D">
      <w:pPr>
        <w:pStyle w:val="Heading2"/>
        <w:rPr>
          <w:sz w:val="28"/>
          <w:szCs w:val="28"/>
        </w:rPr>
      </w:pPr>
      <w:bookmarkStart w:id="9" w:name="_Toc184122957"/>
      <w:r>
        <w:rPr>
          <w:sz w:val="28"/>
          <w:szCs w:val="28"/>
        </w:rPr>
        <w:br w:type="page"/>
      </w:r>
    </w:p>
    <w:bookmarkEnd w:id="5"/>
    <w:p w14:paraId="1BB57C47" w14:textId="046AB30A" w:rsidR="006C6EE3" w:rsidRPr="00EA3F9D" w:rsidRDefault="006C6EE3" w:rsidP="00EA3F9D">
      <w:pPr>
        <w:pStyle w:val="Heading2"/>
        <w:rPr>
          <w:sz w:val="28"/>
          <w:szCs w:val="28"/>
        </w:rPr>
      </w:pPr>
      <w:r w:rsidRPr="00EA3F9D">
        <w:rPr>
          <w:sz w:val="28"/>
          <w:szCs w:val="28"/>
        </w:rPr>
        <w:t>Night Note</w:t>
      </w:r>
      <w:bookmarkEnd w:id="9"/>
    </w:p>
    <w:p w14:paraId="294BFC4A" w14:textId="68041015" w:rsidR="006C6EE3" w:rsidRPr="006C6EE3" w:rsidRDefault="00AB2908" w:rsidP="006C6EE3">
      <w:pPr>
        <w:numPr>
          <w:ilvl w:val="0"/>
          <w:numId w:val="9"/>
        </w:numPr>
      </w:pPr>
      <w:r>
        <w:t>On</w:t>
      </w:r>
      <w:r w:rsidRPr="006C6EE3">
        <w:t xml:space="preserve"> </w:t>
      </w:r>
      <w:r w:rsidR="006C6EE3" w:rsidRPr="006C6EE3">
        <w:t xml:space="preserve">January </w:t>
      </w:r>
      <w:r>
        <w:t>23,</w:t>
      </w:r>
      <w:r w:rsidR="00942474">
        <w:t xml:space="preserve"> </w:t>
      </w:r>
      <w:r>
        <w:t>2026</w:t>
      </w:r>
      <w:r w:rsidR="006C6EE3" w:rsidRPr="006C6EE3">
        <w:t>, the Open Payments dataset</w:t>
      </w:r>
      <w:r w:rsidR="002E385C">
        <w:t>s</w:t>
      </w:r>
      <w:r w:rsidR="006C6EE3" w:rsidRPr="006C6EE3">
        <w:t xml:space="preserve"> will be updated to reflect changes to the data that took place since the June </w:t>
      </w:r>
      <w:r w:rsidR="009C78B9">
        <w:t>202</w:t>
      </w:r>
      <w:r w:rsidR="007C66D7">
        <w:t>5</w:t>
      </w:r>
      <w:r w:rsidR="006C6EE3" w:rsidRPr="006C6EE3">
        <w:t xml:space="preserve"> data publication. </w:t>
      </w:r>
    </w:p>
    <w:p w14:paraId="631A77DA" w14:textId="460148C8" w:rsidR="006C6EE3" w:rsidRPr="006C6EE3" w:rsidRDefault="006C6EE3" w:rsidP="006C6EE3">
      <w:pPr>
        <w:numPr>
          <w:ilvl w:val="0"/>
          <w:numId w:val="9"/>
        </w:numPr>
      </w:pPr>
      <w:r w:rsidRPr="006C6EE3">
        <w:t>CMS is required to update/ refresh the Open Payments data at least once after the initial data publication. The January data refresh fulfills this requirement.</w:t>
      </w:r>
    </w:p>
    <w:p w14:paraId="0974BF4A" w14:textId="76FDD48F" w:rsidR="006C6EE3" w:rsidRPr="006C6EE3" w:rsidRDefault="006C6EE3" w:rsidP="006C6EE3">
      <w:pPr>
        <w:numPr>
          <w:ilvl w:val="0"/>
          <w:numId w:val="9"/>
        </w:numPr>
      </w:pPr>
      <w:r w:rsidRPr="006C6EE3">
        <w:t xml:space="preserve">This refresh includes updates to records made by applicable manufacturers and group purchasing organizations (GPOs) since June </w:t>
      </w:r>
      <w:r w:rsidR="009C78B9">
        <w:t>202</w:t>
      </w:r>
      <w:r w:rsidR="007C66D7">
        <w:t>5</w:t>
      </w:r>
      <w:r w:rsidRPr="006C6EE3">
        <w:t xml:space="preserve">. </w:t>
      </w:r>
    </w:p>
    <w:p w14:paraId="5EDB2C3C" w14:textId="039CCF42" w:rsidR="006C6EE3" w:rsidRPr="006C6EE3" w:rsidRDefault="006C6EE3" w:rsidP="006C6EE3">
      <w:pPr>
        <w:numPr>
          <w:ilvl w:val="1"/>
          <w:numId w:val="9"/>
        </w:numPr>
      </w:pPr>
      <w:r w:rsidRPr="006C6EE3">
        <w:t xml:space="preserve">These updates affect Program Years </w:t>
      </w:r>
      <w:r w:rsidR="009C78B9">
        <w:t>201</w:t>
      </w:r>
      <w:r w:rsidR="007C66D7">
        <w:t>8</w:t>
      </w:r>
      <w:r w:rsidRPr="006C6EE3">
        <w:t xml:space="preserve"> through </w:t>
      </w:r>
      <w:r w:rsidR="009C78B9">
        <w:t>202</w:t>
      </w:r>
      <w:r w:rsidR="007C66D7">
        <w:t>4</w:t>
      </w:r>
      <w:r w:rsidRPr="006C6EE3">
        <w:t xml:space="preserve">. </w:t>
      </w:r>
    </w:p>
    <w:p w14:paraId="193CD609" w14:textId="656EBFA5" w:rsidR="006C6EE3" w:rsidRPr="006C6EE3" w:rsidRDefault="006C6EE3" w:rsidP="006C6EE3">
      <w:pPr>
        <w:numPr>
          <w:ilvl w:val="1"/>
          <w:numId w:val="9"/>
        </w:numPr>
      </w:pPr>
      <w:r w:rsidRPr="006C6EE3">
        <w:t xml:space="preserve">Program Year </w:t>
      </w:r>
      <w:r w:rsidR="009C78B9">
        <w:t>202</w:t>
      </w:r>
      <w:r w:rsidR="007C66D7">
        <w:t>5</w:t>
      </w:r>
      <w:r w:rsidRPr="006C6EE3">
        <w:t xml:space="preserve"> data will be</w:t>
      </w:r>
      <w:r w:rsidR="00942474">
        <w:t xml:space="preserve"> reported by March 31, </w:t>
      </w:r>
      <w:r w:rsidR="00DB400F">
        <w:t>2026,</w:t>
      </w:r>
      <w:r w:rsidR="00942474">
        <w:t xml:space="preserve"> and</w:t>
      </w:r>
      <w:r w:rsidRPr="006C6EE3">
        <w:t xml:space="preserve"> published by June 30, </w:t>
      </w:r>
      <w:r w:rsidR="009C78B9">
        <w:t>202</w:t>
      </w:r>
      <w:r w:rsidR="007C66D7">
        <w:t>6</w:t>
      </w:r>
      <w:r w:rsidRPr="006C6EE3">
        <w:t xml:space="preserve">. </w:t>
      </w:r>
    </w:p>
    <w:p w14:paraId="4DEBE1BF" w14:textId="77777777" w:rsidR="006C6EE3" w:rsidRPr="006C6EE3" w:rsidRDefault="006C6EE3" w:rsidP="006C6EE3">
      <w:pPr>
        <w:numPr>
          <w:ilvl w:val="0"/>
          <w:numId w:val="9"/>
        </w:numPr>
      </w:pPr>
      <w:r w:rsidRPr="006C6EE3">
        <w:t xml:space="preserve">The refreshed Open Payments Data Set includes: </w:t>
      </w:r>
    </w:p>
    <w:p w14:paraId="6D404B5A" w14:textId="38A4A171" w:rsidR="006C6EE3" w:rsidRPr="006C6EE3" w:rsidRDefault="006C6EE3" w:rsidP="006C6EE3">
      <w:pPr>
        <w:numPr>
          <w:ilvl w:val="1"/>
          <w:numId w:val="9"/>
        </w:numPr>
      </w:pPr>
      <w:r w:rsidRPr="006C6EE3">
        <w:rPr>
          <w:b/>
        </w:rPr>
        <w:t>Record Updates:</w:t>
      </w:r>
      <w:r w:rsidRPr="006C6EE3">
        <w:t xml:space="preserve"> Changes to non-disputed records made on or before November 15, 202</w:t>
      </w:r>
      <w:r w:rsidR="007C66D7">
        <w:t>5</w:t>
      </w:r>
      <w:r w:rsidRPr="006C6EE3">
        <w:t xml:space="preserve">. </w:t>
      </w:r>
    </w:p>
    <w:p w14:paraId="5697BC45" w14:textId="666EC3C0" w:rsidR="006C6EE3" w:rsidRPr="006C6EE3" w:rsidRDefault="006C6EE3" w:rsidP="006C6EE3">
      <w:pPr>
        <w:numPr>
          <w:ilvl w:val="1"/>
          <w:numId w:val="9"/>
        </w:numPr>
      </w:pPr>
      <w:r w:rsidRPr="006C6EE3">
        <w:rPr>
          <w:b/>
        </w:rPr>
        <w:t>Disputed Records:</w:t>
      </w:r>
      <w:r w:rsidRPr="006C6EE3">
        <w:t xml:space="preserve"> Dispute resolutions completed on or before December 31, </w:t>
      </w:r>
      <w:r w:rsidR="009C78B9" w:rsidRPr="006C6EE3">
        <w:t>202</w:t>
      </w:r>
      <w:r w:rsidR="007C66D7">
        <w:t>5</w:t>
      </w:r>
      <w:r w:rsidR="009C78B9">
        <w:t>,</w:t>
      </w:r>
      <w:r w:rsidRPr="006C6EE3">
        <w:t xml:space="preserve"> display with the updated information. Records with unresolved disputes as of December 31, 202</w:t>
      </w:r>
      <w:r w:rsidR="007C66D7">
        <w:t>5</w:t>
      </w:r>
      <w:r w:rsidR="009C78B9">
        <w:t>, are</w:t>
      </w:r>
      <w:r w:rsidRPr="006C6EE3">
        <w:t xml:space="preserve"> </w:t>
      </w:r>
      <w:r w:rsidR="008A0044" w:rsidRPr="006C6EE3">
        <w:t>displayed</w:t>
      </w:r>
      <w:r w:rsidRPr="006C6EE3">
        <w:t xml:space="preserve"> as disputed. </w:t>
      </w:r>
    </w:p>
    <w:p w14:paraId="161E9795" w14:textId="1FB17A98" w:rsidR="006C6EE3" w:rsidRPr="006C6EE3" w:rsidRDefault="006C6EE3" w:rsidP="006C6EE3">
      <w:pPr>
        <w:numPr>
          <w:ilvl w:val="1"/>
          <w:numId w:val="9"/>
        </w:numPr>
      </w:pPr>
      <w:r w:rsidRPr="006C6EE3">
        <w:rPr>
          <w:b/>
        </w:rPr>
        <w:t>Record Deletion:</w:t>
      </w:r>
      <w:r w:rsidRPr="006C6EE3">
        <w:t xml:space="preserve"> Records deleted before December 31, 202</w:t>
      </w:r>
      <w:r w:rsidR="007C66D7">
        <w:t>5</w:t>
      </w:r>
      <w:r w:rsidR="009C78B9">
        <w:t>,</w:t>
      </w:r>
      <w:r w:rsidRPr="006C6EE3">
        <w:t xml:space="preserve"> </w:t>
      </w:r>
      <w:r w:rsidR="008A0044">
        <w:t>are</w:t>
      </w:r>
      <w:r w:rsidR="008A0044" w:rsidRPr="006C6EE3">
        <w:t xml:space="preserve"> </w:t>
      </w:r>
      <w:r w:rsidRPr="006C6EE3">
        <w:t>removed from the Open Payments</w:t>
      </w:r>
      <w:r w:rsidR="00922F50">
        <w:t xml:space="preserve"> published dataset</w:t>
      </w:r>
      <w:r w:rsidRPr="006C6EE3">
        <w:t>. Records deleted after December 31, 202</w:t>
      </w:r>
      <w:r w:rsidR="007C66D7">
        <w:t>5</w:t>
      </w:r>
      <w:r w:rsidR="009C78B9">
        <w:t>,</w:t>
      </w:r>
      <w:r w:rsidRPr="006C6EE3">
        <w:t xml:space="preserve"> remain in the </w:t>
      </w:r>
      <w:r w:rsidR="00922F50">
        <w:t>published dataset</w:t>
      </w:r>
      <w:r w:rsidRPr="006C6EE3">
        <w:t xml:space="preserve">, but will be removed during the June </w:t>
      </w:r>
      <w:r w:rsidR="009C78B9">
        <w:t>202</w:t>
      </w:r>
      <w:r w:rsidR="007C66D7">
        <w:t>6</w:t>
      </w:r>
      <w:r w:rsidR="009C78B9">
        <w:t xml:space="preserve"> </w:t>
      </w:r>
      <w:r w:rsidRPr="006C6EE3">
        <w:t>data publication.</w:t>
      </w:r>
    </w:p>
    <w:p w14:paraId="2EA9F3EA" w14:textId="278B124E" w:rsidR="006C6EE3" w:rsidRDefault="00942474" w:rsidP="006C6EE3">
      <w:pPr>
        <w:numPr>
          <w:ilvl w:val="0"/>
          <w:numId w:val="9"/>
        </w:numPr>
      </w:pPr>
      <w:r>
        <w:t>As happens every year, we expect that t</w:t>
      </w:r>
      <w:r w:rsidR="001D7E25" w:rsidRPr="006C6EE3">
        <w:t>here</w:t>
      </w:r>
      <w:r w:rsidR="006C6EE3" w:rsidRPr="006C6EE3">
        <w:t xml:space="preserve"> will be a slight change in the data values</w:t>
      </w:r>
      <w:r>
        <w:t>;</w:t>
      </w:r>
      <w:r w:rsidR="006C6EE3" w:rsidRPr="006C6EE3">
        <w:t xml:space="preserve"> however</w:t>
      </w:r>
      <w:r>
        <w:t>,</w:t>
      </w:r>
      <w:r w:rsidR="006C6EE3" w:rsidRPr="006C6EE3">
        <w:t xml:space="preserve"> this is a standard fluctuation and the changes in value </w:t>
      </w:r>
      <w:r>
        <w:t xml:space="preserve">typically </w:t>
      </w:r>
      <w:r w:rsidR="006C6EE3" w:rsidRPr="006C6EE3">
        <w:t xml:space="preserve">do not affect the data in any significant way. </w:t>
      </w:r>
    </w:p>
    <w:p w14:paraId="3F08CA44" w14:textId="40BE777F" w:rsidR="00C40207" w:rsidRPr="006C6EE3" w:rsidRDefault="00C40207" w:rsidP="001D7E25">
      <w:pPr>
        <w:numPr>
          <w:ilvl w:val="1"/>
          <w:numId w:val="9"/>
        </w:numPr>
      </w:pPr>
      <w:r>
        <w:t>The refreshed data points will be finalized on January 15, 2026</w:t>
      </w:r>
      <w:r w:rsidR="00942474">
        <w:t>.</w:t>
      </w:r>
      <w:r>
        <w:t xml:space="preserve"> </w:t>
      </w:r>
    </w:p>
    <w:p w14:paraId="25B60ACF" w14:textId="77777777" w:rsidR="006C6EE3" w:rsidRPr="006C6EE3" w:rsidRDefault="006C6EE3" w:rsidP="006C6EE3"/>
    <w:p w14:paraId="798E8F2C" w14:textId="77777777" w:rsidR="006C6EE3" w:rsidRPr="006C6EE3" w:rsidRDefault="006C6EE3" w:rsidP="006C6EE3">
      <w:pPr>
        <w:pStyle w:val="ListParagraph"/>
      </w:pPr>
    </w:p>
    <w:sectPr w:rsidR="006C6EE3" w:rsidRPr="006C6EE3" w:rsidSect="006B7BF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3C0"/>
    <w:multiLevelType w:val="multilevel"/>
    <w:tmpl w:val="CCAEB2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E30"/>
    <w:multiLevelType w:val="multilevel"/>
    <w:tmpl w:val="3846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309C"/>
    <w:multiLevelType w:val="multilevel"/>
    <w:tmpl w:val="187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A2223"/>
    <w:multiLevelType w:val="hybridMultilevel"/>
    <w:tmpl w:val="A17A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3370"/>
    <w:multiLevelType w:val="multilevel"/>
    <w:tmpl w:val="FFCA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835E1"/>
    <w:multiLevelType w:val="multilevel"/>
    <w:tmpl w:val="7F3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1280C"/>
    <w:multiLevelType w:val="multilevel"/>
    <w:tmpl w:val="F7786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97195"/>
    <w:multiLevelType w:val="multilevel"/>
    <w:tmpl w:val="42F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146DD"/>
    <w:multiLevelType w:val="multilevel"/>
    <w:tmpl w:val="B98E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97215"/>
    <w:multiLevelType w:val="hybridMultilevel"/>
    <w:tmpl w:val="AE7C6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96622"/>
    <w:multiLevelType w:val="multilevel"/>
    <w:tmpl w:val="F0F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F00E9"/>
    <w:multiLevelType w:val="multilevel"/>
    <w:tmpl w:val="14D6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242231">
    <w:abstractNumId w:val="5"/>
  </w:num>
  <w:num w:numId="2" w16cid:durableId="530270208">
    <w:abstractNumId w:val="10"/>
  </w:num>
  <w:num w:numId="3" w16cid:durableId="1577940345">
    <w:abstractNumId w:val="8"/>
  </w:num>
  <w:num w:numId="4" w16cid:durableId="2014801627">
    <w:abstractNumId w:val="2"/>
  </w:num>
  <w:num w:numId="5" w16cid:durableId="1104494561">
    <w:abstractNumId w:val="4"/>
  </w:num>
  <w:num w:numId="6" w16cid:durableId="2105491148">
    <w:abstractNumId w:val="7"/>
  </w:num>
  <w:num w:numId="7" w16cid:durableId="2030327345">
    <w:abstractNumId w:val="9"/>
  </w:num>
  <w:num w:numId="8" w16cid:durableId="1743527639">
    <w:abstractNumId w:val="3"/>
  </w:num>
  <w:num w:numId="9" w16cid:durableId="1560288831">
    <w:abstractNumId w:val="0"/>
  </w:num>
  <w:num w:numId="10" w16cid:durableId="72512898">
    <w:abstractNumId w:val="11"/>
  </w:num>
  <w:num w:numId="11" w16cid:durableId="1691638813">
    <w:abstractNumId w:val="6"/>
  </w:num>
  <w:num w:numId="12" w16cid:durableId="120903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9"/>
    <w:rsid w:val="000052F8"/>
    <w:rsid w:val="00044050"/>
    <w:rsid w:val="00055EA9"/>
    <w:rsid w:val="00070205"/>
    <w:rsid w:val="000904A6"/>
    <w:rsid w:val="000C3C7E"/>
    <w:rsid w:val="00116BA7"/>
    <w:rsid w:val="00175468"/>
    <w:rsid w:val="0019358E"/>
    <w:rsid w:val="001B5FDE"/>
    <w:rsid w:val="001D5B78"/>
    <w:rsid w:val="001D7E25"/>
    <w:rsid w:val="0021567B"/>
    <w:rsid w:val="00254787"/>
    <w:rsid w:val="00254CEE"/>
    <w:rsid w:val="00261BD2"/>
    <w:rsid w:val="00273DA0"/>
    <w:rsid w:val="00286B9F"/>
    <w:rsid w:val="002B29BF"/>
    <w:rsid w:val="002E385C"/>
    <w:rsid w:val="003F11C7"/>
    <w:rsid w:val="003F4B76"/>
    <w:rsid w:val="00400F88"/>
    <w:rsid w:val="00454FCB"/>
    <w:rsid w:val="00494FAF"/>
    <w:rsid w:val="004C7A6E"/>
    <w:rsid w:val="004D7C73"/>
    <w:rsid w:val="005525E7"/>
    <w:rsid w:val="00563D67"/>
    <w:rsid w:val="00577CAA"/>
    <w:rsid w:val="00587582"/>
    <w:rsid w:val="005A5A11"/>
    <w:rsid w:val="005B3373"/>
    <w:rsid w:val="005E3026"/>
    <w:rsid w:val="00601BBF"/>
    <w:rsid w:val="006146F2"/>
    <w:rsid w:val="0064486E"/>
    <w:rsid w:val="00663009"/>
    <w:rsid w:val="0067276A"/>
    <w:rsid w:val="006A033F"/>
    <w:rsid w:val="006B7BF9"/>
    <w:rsid w:val="006C6EE3"/>
    <w:rsid w:val="0070660A"/>
    <w:rsid w:val="007C66D7"/>
    <w:rsid w:val="008A0044"/>
    <w:rsid w:val="00922F50"/>
    <w:rsid w:val="00933519"/>
    <w:rsid w:val="0093553C"/>
    <w:rsid w:val="00942474"/>
    <w:rsid w:val="009608A3"/>
    <w:rsid w:val="0097756A"/>
    <w:rsid w:val="0099691C"/>
    <w:rsid w:val="009C28AB"/>
    <w:rsid w:val="009C6F86"/>
    <w:rsid w:val="009C78B9"/>
    <w:rsid w:val="00A02980"/>
    <w:rsid w:val="00A05F2A"/>
    <w:rsid w:val="00A266FA"/>
    <w:rsid w:val="00A40AF3"/>
    <w:rsid w:val="00A473E5"/>
    <w:rsid w:val="00A901A1"/>
    <w:rsid w:val="00AA52C7"/>
    <w:rsid w:val="00AB2908"/>
    <w:rsid w:val="00B04ABC"/>
    <w:rsid w:val="00B5554F"/>
    <w:rsid w:val="00B80B27"/>
    <w:rsid w:val="00C11CC6"/>
    <w:rsid w:val="00C40207"/>
    <w:rsid w:val="00C71418"/>
    <w:rsid w:val="00C73196"/>
    <w:rsid w:val="00C75C3B"/>
    <w:rsid w:val="00C90515"/>
    <w:rsid w:val="00CB4062"/>
    <w:rsid w:val="00CD5D46"/>
    <w:rsid w:val="00CE0B15"/>
    <w:rsid w:val="00CF4725"/>
    <w:rsid w:val="00D3377D"/>
    <w:rsid w:val="00D3534E"/>
    <w:rsid w:val="00D8766B"/>
    <w:rsid w:val="00DB3567"/>
    <w:rsid w:val="00DB400F"/>
    <w:rsid w:val="00DC239E"/>
    <w:rsid w:val="00DC6E2F"/>
    <w:rsid w:val="00E346FA"/>
    <w:rsid w:val="00E602A2"/>
    <w:rsid w:val="00E842F4"/>
    <w:rsid w:val="00EA3F9D"/>
    <w:rsid w:val="00EB5A9A"/>
    <w:rsid w:val="00EC3394"/>
    <w:rsid w:val="00F37D8D"/>
    <w:rsid w:val="00F62F5E"/>
    <w:rsid w:val="00FF424C"/>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5F23"/>
  <w15:chartTrackingRefBased/>
  <w15:docId w15:val="{385F9617-F8C6-4493-8042-989DE7CC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BF9"/>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6B7BF9"/>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unhideWhenUsed/>
    <w:qFormat/>
    <w:rsid w:val="006B7BF9"/>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unhideWhenUsed/>
    <w:qFormat/>
    <w:rsid w:val="006B7BF9"/>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unhideWhenUsed/>
    <w:qFormat/>
    <w:rsid w:val="006B7BF9"/>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6B7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BF9"/>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6B7BF9"/>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rsid w:val="006B7BF9"/>
    <w:rPr>
      <w:rFonts w:eastAsiaTheme="majorEastAsia" w:cstheme="majorBidi"/>
      <w:color w:val="1481AB" w:themeColor="accent1" w:themeShade="BF"/>
      <w:sz w:val="28"/>
      <w:szCs w:val="28"/>
    </w:rPr>
  </w:style>
  <w:style w:type="character" w:customStyle="1" w:styleId="Heading4Char">
    <w:name w:val="Heading 4 Char"/>
    <w:basedOn w:val="DefaultParagraphFont"/>
    <w:link w:val="Heading4"/>
    <w:uiPriority w:val="9"/>
    <w:rsid w:val="006B7BF9"/>
    <w:rPr>
      <w:rFonts w:eastAsiaTheme="majorEastAsia" w:cstheme="majorBidi"/>
      <w:i/>
      <w:iCs/>
      <w:color w:val="1481AB" w:themeColor="accent1" w:themeShade="BF"/>
    </w:rPr>
  </w:style>
  <w:style w:type="character" w:customStyle="1" w:styleId="Heading5Char">
    <w:name w:val="Heading 5 Char"/>
    <w:basedOn w:val="DefaultParagraphFont"/>
    <w:link w:val="Heading5"/>
    <w:uiPriority w:val="9"/>
    <w:rsid w:val="006B7BF9"/>
    <w:rPr>
      <w:rFonts w:eastAsiaTheme="majorEastAsia" w:cstheme="majorBidi"/>
      <w:color w:val="1481AB" w:themeColor="accent1" w:themeShade="BF"/>
    </w:rPr>
  </w:style>
  <w:style w:type="character" w:customStyle="1" w:styleId="Heading6Char">
    <w:name w:val="Heading 6 Char"/>
    <w:basedOn w:val="DefaultParagraphFont"/>
    <w:link w:val="Heading6"/>
    <w:uiPriority w:val="9"/>
    <w:semiHidden/>
    <w:rsid w:val="006B7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BF9"/>
    <w:rPr>
      <w:rFonts w:eastAsiaTheme="majorEastAsia" w:cstheme="majorBidi"/>
      <w:color w:val="272727" w:themeColor="text1" w:themeTint="D8"/>
    </w:rPr>
  </w:style>
  <w:style w:type="paragraph" w:styleId="Title">
    <w:name w:val="Title"/>
    <w:basedOn w:val="Normal"/>
    <w:next w:val="Normal"/>
    <w:link w:val="TitleChar"/>
    <w:uiPriority w:val="10"/>
    <w:qFormat/>
    <w:rsid w:val="006B7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BF9"/>
    <w:pPr>
      <w:spacing w:before="160"/>
      <w:jc w:val="center"/>
    </w:pPr>
    <w:rPr>
      <w:i/>
      <w:iCs/>
      <w:color w:val="404040" w:themeColor="text1" w:themeTint="BF"/>
    </w:rPr>
  </w:style>
  <w:style w:type="character" w:customStyle="1" w:styleId="QuoteChar">
    <w:name w:val="Quote Char"/>
    <w:basedOn w:val="DefaultParagraphFont"/>
    <w:link w:val="Quote"/>
    <w:uiPriority w:val="29"/>
    <w:rsid w:val="006B7BF9"/>
    <w:rPr>
      <w:i/>
      <w:iCs/>
      <w:color w:val="404040" w:themeColor="text1" w:themeTint="BF"/>
    </w:rPr>
  </w:style>
  <w:style w:type="paragraph" w:styleId="ListParagraph">
    <w:name w:val="List Paragraph"/>
    <w:basedOn w:val="Normal"/>
    <w:uiPriority w:val="34"/>
    <w:qFormat/>
    <w:rsid w:val="006B7BF9"/>
    <w:pPr>
      <w:ind w:left="720"/>
      <w:contextualSpacing/>
    </w:pPr>
  </w:style>
  <w:style w:type="character" w:styleId="IntenseEmphasis">
    <w:name w:val="Intense Emphasis"/>
    <w:basedOn w:val="DefaultParagraphFont"/>
    <w:uiPriority w:val="21"/>
    <w:qFormat/>
    <w:rsid w:val="006B7BF9"/>
    <w:rPr>
      <w:i/>
      <w:iCs/>
      <w:color w:val="1481AB" w:themeColor="accent1" w:themeShade="BF"/>
    </w:rPr>
  </w:style>
  <w:style w:type="paragraph" w:styleId="IntenseQuote">
    <w:name w:val="Intense Quote"/>
    <w:basedOn w:val="Normal"/>
    <w:next w:val="Normal"/>
    <w:link w:val="IntenseQuoteChar"/>
    <w:uiPriority w:val="30"/>
    <w:qFormat/>
    <w:rsid w:val="006B7BF9"/>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rsid w:val="006B7BF9"/>
    <w:rPr>
      <w:i/>
      <w:iCs/>
      <w:color w:val="1481AB" w:themeColor="accent1" w:themeShade="BF"/>
    </w:rPr>
  </w:style>
  <w:style w:type="character" w:styleId="IntenseReference">
    <w:name w:val="Intense Reference"/>
    <w:basedOn w:val="DefaultParagraphFont"/>
    <w:uiPriority w:val="32"/>
    <w:qFormat/>
    <w:rsid w:val="006B7BF9"/>
    <w:rPr>
      <w:b/>
      <w:bCs/>
      <w:smallCaps/>
      <w:color w:val="1481AB" w:themeColor="accent1" w:themeShade="BF"/>
      <w:spacing w:val="5"/>
    </w:rPr>
  </w:style>
  <w:style w:type="paragraph" w:styleId="NoSpacing">
    <w:name w:val="No Spacing"/>
    <w:link w:val="NoSpacingChar"/>
    <w:uiPriority w:val="1"/>
    <w:qFormat/>
    <w:rsid w:val="006B7BF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B7BF9"/>
    <w:rPr>
      <w:rFonts w:eastAsiaTheme="minorEastAsia"/>
      <w:kern w:val="0"/>
      <w14:ligatures w14:val="none"/>
    </w:rPr>
  </w:style>
  <w:style w:type="paragraph" w:styleId="TOCHeading">
    <w:name w:val="TOC Heading"/>
    <w:basedOn w:val="Heading1"/>
    <w:next w:val="Normal"/>
    <w:uiPriority w:val="39"/>
    <w:unhideWhenUsed/>
    <w:qFormat/>
    <w:rsid w:val="00A02980"/>
    <w:pPr>
      <w:spacing w:before="240" w:after="0"/>
      <w:outlineLvl w:val="9"/>
    </w:pPr>
    <w:rPr>
      <w:kern w:val="0"/>
      <w:sz w:val="32"/>
      <w:szCs w:val="32"/>
      <w14:ligatures w14:val="none"/>
    </w:rPr>
  </w:style>
  <w:style w:type="character" w:styleId="Hyperlink">
    <w:name w:val="Hyperlink"/>
    <w:basedOn w:val="DefaultParagraphFont"/>
    <w:uiPriority w:val="99"/>
    <w:unhideWhenUsed/>
    <w:rsid w:val="00F62F5E"/>
    <w:rPr>
      <w:color w:val="6EAC1C" w:themeColor="hyperlink"/>
      <w:u w:val="single"/>
    </w:rPr>
  </w:style>
  <w:style w:type="character" w:styleId="UnresolvedMention">
    <w:name w:val="Unresolved Mention"/>
    <w:basedOn w:val="DefaultParagraphFont"/>
    <w:uiPriority w:val="99"/>
    <w:semiHidden/>
    <w:unhideWhenUsed/>
    <w:rsid w:val="00F62F5E"/>
    <w:rPr>
      <w:color w:val="605E5C"/>
      <w:shd w:val="clear" w:color="auto" w:fill="E1DFDD"/>
    </w:rPr>
  </w:style>
  <w:style w:type="table" w:styleId="TableGrid">
    <w:name w:val="Table Grid"/>
    <w:basedOn w:val="TableNormal"/>
    <w:uiPriority w:val="39"/>
    <w:rsid w:val="00CF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86E"/>
    <w:rPr>
      <w:rFonts w:ascii="Times New Roman" w:hAnsi="Times New Roman" w:cs="Times New Roman"/>
      <w:sz w:val="24"/>
      <w:szCs w:val="24"/>
    </w:rPr>
  </w:style>
  <w:style w:type="paragraph" w:styleId="Revision">
    <w:name w:val="Revision"/>
    <w:hidden/>
    <w:uiPriority w:val="99"/>
    <w:semiHidden/>
    <w:rsid w:val="0064486E"/>
    <w:pPr>
      <w:spacing w:after="0" w:line="240" w:lineRule="auto"/>
    </w:pPr>
  </w:style>
  <w:style w:type="paragraph" w:styleId="TOC1">
    <w:name w:val="toc 1"/>
    <w:basedOn w:val="Normal"/>
    <w:next w:val="Normal"/>
    <w:autoRedefine/>
    <w:uiPriority w:val="39"/>
    <w:unhideWhenUsed/>
    <w:rsid w:val="00DB3567"/>
    <w:pPr>
      <w:spacing w:after="100"/>
    </w:pPr>
  </w:style>
  <w:style w:type="paragraph" w:styleId="TOC2">
    <w:name w:val="toc 2"/>
    <w:basedOn w:val="Normal"/>
    <w:next w:val="Normal"/>
    <w:autoRedefine/>
    <w:uiPriority w:val="39"/>
    <w:unhideWhenUsed/>
    <w:rsid w:val="00DB3567"/>
    <w:pPr>
      <w:spacing w:after="100"/>
      <w:ind w:left="220"/>
    </w:pPr>
  </w:style>
  <w:style w:type="character" w:styleId="CommentReference">
    <w:name w:val="annotation reference"/>
    <w:basedOn w:val="DefaultParagraphFont"/>
    <w:uiPriority w:val="99"/>
    <w:semiHidden/>
    <w:unhideWhenUsed/>
    <w:rsid w:val="006C6EE3"/>
    <w:rPr>
      <w:sz w:val="16"/>
      <w:szCs w:val="16"/>
    </w:rPr>
  </w:style>
  <w:style w:type="paragraph" w:styleId="CommentText">
    <w:name w:val="annotation text"/>
    <w:basedOn w:val="Normal"/>
    <w:link w:val="CommentTextChar"/>
    <w:uiPriority w:val="99"/>
    <w:unhideWhenUsed/>
    <w:rsid w:val="006C6EE3"/>
    <w:pPr>
      <w:spacing w:line="240" w:lineRule="auto"/>
    </w:pPr>
    <w:rPr>
      <w:sz w:val="20"/>
      <w:szCs w:val="20"/>
    </w:rPr>
  </w:style>
  <w:style w:type="character" w:customStyle="1" w:styleId="CommentTextChar">
    <w:name w:val="Comment Text Char"/>
    <w:basedOn w:val="DefaultParagraphFont"/>
    <w:link w:val="CommentText"/>
    <w:uiPriority w:val="99"/>
    <w:rsid w:val="006C6EE3"/>
    <w:rPr>
      <w:sz w:val="20"/>
      <w:szCs w:val="20"/>
    </w:rPr>
  </w:style>
  <w:style w:type="paragraph" w:styleId="CommentSubject">
    <w:name w:val="annotation subject"/>
    <w:basedOn w:val="CommentText"/>
    <w:next w:val="CommentText"/>
    <w:link w:val="CommentSubjectChar"/>
    <w:uiPriority w:val="99"/>
    <w:semiHidden/>
    <w:unhideWhenUsed/>
    <w:rsid w:val="006C6EE3"/>
    <w:rPr>
      <w:b/>
      <w:bCs/>
    </w:rPr>
  </w:style>
  <w:style w:type="character" w:customStyle="1" w:styleId="CommentSubjectChar">
    <w:name w:val="Comment Subject Char"/>
    <w:basedOn w:val="CommentTextChar"/>
    <w:link w:val="CommentSubject"/>
    <w:uiPriority w:val="99"/>
    <w:semiHidden/>
    <w:rsid w:val="006C6EE3"/>
    <w:rPr>
      <w:b/>
      <w:bCs/>
      <w:sz w:val="20"/>
      <w:szCs w:val="20"/>
    </w:rPr>
  </w:style>
  <w:style w:type="paragraph" w:styleId="TOC3">
    <w:name w:val="toc 3"/>
    <w:basedOn w:val="Normal"/>
    <w:next w:val="Normal"/>
    <w:autoRedefine/>
    <w:uiPriority w:val="39"/>
    <w:unhideWhenUsed/>
    <w:rsid w:val="003F11C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5690">
      <w:bodyDiv w:val="1"/>
      <w:marLeft w:val="0"/>
      <w:marRight w:val="0"/>
      <w:marTop w:val="0"/>
      <w:marBottom w:val="0"/>
      <w:divBdr>
        <w:top w:val="none" w:sz="0" w:space="0" w:color="auto"/>
        <w:left w:val="none" w:sz="0" w:space="0" w:color="auto"/>
        <w:bottom w:val="none" w:sz="0" w:space="0" w:color="auto"/>
        <w:right w:val="none" w:sz="0" w:space="0" w:color="auto"/>
      </w:divBdr>
    </w:div>
    <w:div w:id="1019351098">
      <w:bodyDiv w:val="1"/>
      <w:marLeft w:val="0"/>
      <w:marRight w:val="0"/>
      <w:marTop w:val="0"/>
      <w:marBottom w:val="0"/>
      <w:divBdr>
        <w:top w:val="none" w:sz="0" w:space="0" w:color="auto"/>
        <w:left w:val="none" w:sz="0" w:space="0" w:color="auto"/>
        <w:bottom w:val="none" w:sz="0" w:space="0" w:color="auto"/>
        <w:right w:val="none" w:sz="0" w:space="0" w:color="auto"/>
      </w:divBdr>
      <w:divsChild>
        <w:div w:id="1150288039">
          <w:marLeft w:val="0"/>
          <w:marRight w:val="0"/>
          <w:marTop w:val="0"/>
          <w:marBottom w:val="0"/>
          <w:divBdr>
            <w:top w:val="none" w:sz="0" w:space="0" w:color="auto"/>
            <w:left w:val="none" w:sz="0" w:space="0" w:color="auto"/>
            <w:bottom w:val="none" w:sz="0" w:space="0" w:color="auto"/>
            <w:right w:val="none" w:sz="0" w:space="0" w:color="auto"/>
          </w:divBdr>
        </w:div>
        <w:div w:id="2023625814">
          <w:marLeft w:val="0"/>
          <w:marRight w:val="0"/>
          <w:marTop w:val="0"/>
          <w:marBottom w:val="0"/>
          <w:divBdr>
            <w:top w:val="none" w:sz="0" w:space="0" w:color="auto"/>
            <w:left w:val="none" w:sz="0" w:space="0" w:color="auto"/>
            <w:bottom w:val="none" w:sz="0" w:space="0" w:color="auto"/>
            <w:right w:val="none" w:sz="0" w:space="0" w:color="auto"/>
          </w:divBdr>
          <w:divsChild>
            <w:div w:id="20633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478">
      <w:bodyDiv w:val="1"/>
      <w:marLeft w:val="0"/>
      <w:marRight w:val="0"/>
      <w:marTop w:val="0"/>
      <w:marBottom w:val="0"/>
      <w:divBdr>
        <w:top w:val="none" w:sz="0" w:space="0" w:color="auto"/>
        <w:left w:val="none" w:sz="0" w:space="0" w:color="auto"/>
        <w:bottom w:val="none" w:sz="0" w:space="0" w:color="auto"/>
        <w:right w:val="none" w:sz="0" w:space="0" w:color="auto"/>
      </w:divBdr>
      <w:divsChild>
        <w:div w:id="1038509512">
          <w:marLeft w:val="0"/>
          <w:marRight w:val="0"/>
          <w:marTop w:val="0"/>
          <w:marBottom w:val="0"/>
          <w:divBdr>
            <w:top w:val="none" w:sz="0" w:space="0" w:color="auto"/>
            <w:left w:val="none" w:sz="0" w:space="0" w:color="auto"/>
            <w:bottom w:val="none" w:sz="0" w:space="0" w:color="auto"/>
            <w:right w:val="none" w:sz="0" w:space="0" w:color="auto"/>
          </w:divBdr>
        </w:div>
        <w:div w:id="1375885985">
          <w:marLeft w:val="0"/>
          <w:marRight w:val="0"/>
          <w:marTop w:val="0"/>
          <w:marBottom w:val="0"/>
          <w:divBdr>
            <w:top w:val="none" w:sz="0" w:space="0" w:color="auto"/>
            <w:left w:val="none" w:sz="0" w:space="0" w:color="auto"/>
            <w:bottom w:val="none" w:sz="0" w:space="0" w:color="auto"/>
            <w:right w:val="none" w:sz="0" w:space="0" w:color="auto"/>
          </w:divBdr>
          <w:divsChild>
            <w:div w:id="6007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min.govdelivery.com/accounts/USCMS/bulletins?sortdesc=bulletinsort-sent_at&amp;state=sent" TargetMode="External"/><Relationship Id="rId18" Type="http://schemas.openxmlformats.org/officeDocument/2006/relationships/hyperlink" Target="https://admin.govdelivery.com/accounts/USCMS/bulletins?sortdesc=bulletinsort-sent_at&amp;state=s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dmin.govdelivery.com/accounts/USCMS/bulletins?sortdesc=bulletinsort-sent_at&amp;state=sent" TargetMode="External"/><Relationship Id="rId17" Type="http://schemas.openxmlformats.org/officeDocument/2006/relationships/hyperlink" Target="mailto:openpayments@cms.hhs.gov" TargetMode="External"/><Relationship Id="rId2" Type="http://schemas.openxmlformats.org/officeDocument/2006/relationships/customXml" Target="../customXml/item2.xml"/><Relationship Id="rId16" Type="http://schemas.openxmlformats.org/officeDocument/2006/relationships/hyperlink" Target="https://admin.govdelivery.com/accounts/USCMS/bulletins?sortdesc=bulletinsort-sent_at&amp;state=s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cms.gov/openpayments" TargetMode="External"/><Relationship Id="rId10" Type="http://schemas.openxmlformats.org/officeDocument/2006/relationships/image" Target="media/image1.jpg"/><Relationship Id="rId19" Type="http://schemas.openxmlformats.org/officeDocument/2006/relationships/hyperlink" Target="http://cms.gov/About-CMS/Agency-Information/ContactCM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paymentsdata.cms.gov/"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Open Payments data will be refreshed in January 2026. The refresh contains changes and updates to the data that occurred between the initial data publication in June 2025 and December 2025. The update will be communicated via the Open Payments listserv.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xsi:nil="true"/>
    <TaxCatchAll xmlns="3935f982-d2dc-4d24-875a-0d8a29e5bb99"/>
    <lf414c47304d4c15a4cdd593deb02f5f xmlns="3935f982-d2dc-4d24-875a-0d8a29e5bb99" xsi:nil="true"/>
    <Subcategory xmlns="0a86fd97-69d4-4312-adb5-84a8ef822b05">22</Subcategory>
    <Category xmlns="0a86fd97-69d4-4312-adb5-84a8ef822b05">2</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3D404985AFE244A6BDD4D2D1AD26FD" ma:contentTypeVersion="26" ma:contentTypeDescription="Create a new document." ma:contentTypeScope="" ma:versionID="f8e2daf6b19db4f4e78575999cdd2412">
  <xsd:schema xmlns:xsd="http://www.w3.org/2001/XMLSchema" xmlns:xs="http://www.w3.org/2001/XMLSchema" xmlns:p="http://schemas.microsoft.com/office/2006/metadata/properties" xmlns:ns2="0a86fd97-69d4-4312-adb5-84a8ef822b05" xmlns:ns3="3935f982-d2dc-4d24-875a-0d8a29e5bb99" targetNamespace="http://schemas.microsoft.com/office/2006/metadata/properties" ma:root="true" ma:fieldsID="07eb1ce74a8a3b40ab431d0c67aea09c" ns2:_="" ns3:_="">
    <xsd:import namespace="0a86fd97-69d4-4312-adb5-84a8ef822b05"/>
    <xsd:import namespace="3935f982-d2dc-4d24-875a-0d8a29e5bb99"/>
    <xsd:element name="properties">
      <xsd:complexType>
        <xsd:sequence>
          <xsd:element name="documentManagement">
            <xsd:complexType>
              <xsd:all>
                <xsd:element ref="ns2:Category"/>
                <xsd:element ref="ns2:Subcategory"/>
                <xsd:element ref="ns3:TaxCatchAll" minOccurs="0"/>
                <xsd:element ref="ns3:DocStatus" minOccurs="0"/>
                <xsd:element ref="ns3:lf4e879360834b32a0ce60c3bef10998" minOccurs="0"/>
                <xsd:element ref="ns3:lf414c47304d4c15a4cdd593deb02f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6fd97-69d4-4312-adb5-84a8ef822b05" elementFormDefault="qualified">
    <xsd:import namespace="http://schemas.microsoft.com/office/2006/documentManagement/types"/>
    <xsd:import namespace="http://schemas.microsoft.com/office/infopath/2007/PartnerControls"/>
    <xsd:element name="Category" ma:index="2" ma:displayName="Category" ma:list="{4f58f9f0-b998-4b14-bbbf-c2778d2944e6}" ma:internalName="Category" ma:readOnly="false" ma:showField="Title">
      <xsd:simpleType>
        <xsd:restriction base="dms:Lookup"/>
      </xsd:simpleType>
    </xsd:element>
    <xsd:element name="Subcategory" ma:index="3" ma:displayName="Subcategory" ma:list="{2294d4fe-03ed-40c8-aa56-3c9825e74f79}" ma:internalName="Subcategory"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c6865c4-64cc-4930-9301-6f8b3dfce474}" ma:internalName="TaxCatchAll" ma:showField="CatchAllData" ma:web="db2780bd-1998-4d7e-8b81-9afc55ba660e">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displayName="CMS GRS Bucket Series_0" ma:hidden="true" ma:internalName="lf4e879360834b32a0ce60c3bef10998" ma:readOnly="false">
      <xsd:simpleType>
        <xsd:restriction base="dms:Note"/>
      </xsd:simpleType>
    </xsd:element>
    <xsd:element name="lf414c47304d4c15a4cdd593deb02f5f" ma:index="15" nillable="true" ma:displayName="Component_1" ma:hidden="true" ma:internalName="lf414c47304d4c15a4cdd593deb02f5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CF234-CEAD-4AE4-A2DF-E31BB8582E73}">
  <ds:schemaRefs>
    <ds:schemaRef ds:uri="http://schemas.microsoft.com/office/2006/metadata/properties"/>
    <ds:schemaRef ds:uri="http://schemas.microsoft.com/office/infopath/2007/PartnerControls"/>
    <ds:schemaRef ds:uri="3935f982-d2dc-4d24-875a-0d8a29e5bb99"/>
    <ds:schemaRef ds:uri="0a86fd97-69d4-4312-adb5-84a8ef822b05"/>
  </ds:schemaRefs>
</ds:datastoreItem>
</file>

<file path=customXml/itemProps3.xml><?xml version="1.0" encoding="utf-8"?>
<ds:datastoreItem xmlns:ds="http://schemas.openxmlformats.org/officeDocument/2006/customXml" ds:itemID="{3B86D4AC-27B7-4987-99F3-4FA5B11D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6fd97-69d4-4312-adb5-84a8ef822b05"/>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3F438-DE29-48C1-A81B-588C3A60C985}">
  <ds:schemaRefs>
    <ds:schemaRef ds:uri="http://schemas.openxmlformats.org/officeDocument/2006/bibliography"/>
  </ds:schemaRefs>
</ds:datastoreItem>
</file>

<file path=customXml/itemProps5.xml><?xml version="1.0" encoding="utf-8"?>
<ds:datastoreItem xmlns:ds="http://schemas.openxmlformats.org/officeDocument/2006/customXml" ds:itemID="{BEB45B02-91FF-41AC-9864-C337AD5C8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939</Words>
  <Characters>5320</Characters>
  <Application>Microsoft Office Word</Application>
  <DocSecurity>0</DocSecurity>
  <Lines>152</Lines>
  <Paragraphs>82</Paragraphs>
  <ScaleCrop>false</ScaleCrop>
  <HeadingPairs>
    <vt:vector size="2" baseType="variant">
      <vt:variant>
        <vt:lpstr>Title</vt:lpstr>
      </vt:variant>
      <vt:variant>
        <vt:i4>1</vt:i4>
      </vt:variant>
    </vt:vector>
  </HeadingPairs>
  <TitlesOfParts>
    <vt:vector size="1" baseType="lpstr">
      <vt:lpstr>Open Payments Data Refresh Package</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Payments Data Refresh Package</dc:title>
  <dc:subject>January 2026</dc:subject>
  <dc:creator>Transparency &amp; Data Group</dc:creator>
  <cp:keywords/>
  <dc:description/>
  <cp:lastModifiedBy>Han, Ashley (CMS/OHEI)</cp:lastModifiedBy>
  <cp:revision>2</cp:revision>
  <dcterms:created xsi:type="dcterms:W3CDTF">2025-12-17T20:43:00Z</dcterms:created>
  <dcterms:modified xsi:type="dcterms:W3CDTF">2025-12-17T20:43:00Z</dcterms:modified>
  <cp:category>Fall 2024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0x010100363D404985AFE244A6BDD4D2D1AD26FD</vt:lpwstr>
  </property>
  <property fmtid="{D5CDD505-2E9C-101B-9397-08002B2CF9AE}" pid="3" name="Component">
    <vt:lpwstr/>
  </property>
  <property fmtid="{D5CDD505-2E9C-101B-9397-08002B2CF9AE}" pid="4" name="CMS GRS Bucket Series">
    <vt:lpwstr/>
  </property>
</Properties>
</file>