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59427" w14:textId="288A85D7" w:rsidR="004C3610" w:rsidRPr="004C3610" w:rsidRDefault="004A3B43" w:rsidP="004C3610">
      <w:pPr>
        <w:spacing w:before="240" w:after="2000"/>
        <w:jc w:val="right"/>
        <w:rPr>
          <w:rFonts w:ascii="Arial" w:hAnsi="Arial"/>
          <w:b/>
          <w:sz w:val="28"/>
        </w:rPr>
      </w:pPr>
      <w:bookmarkStart w:id="0" w:name="_Toc414351697"/>
      <w:bookmarkStart w:id="1" w:name="_Toc163267776"/>
      <w:bookmarkStart w:id="2" w:name="_Toc163268020"/>
      <w:r>
        <w:rPr>
          <w:rFonts w:ascii="Arial" w:hAnsi="Arial"/>
          <w:b/>
          <w:sz w:val="28"/>
        </w:rPr>
        <w:t xml:space="preserve">August </w:t>
      </w:r>
      <w:r w:rsidR="005A6F6F">
        <w:rPr>
          <w:rFonts w:ascii="Arial" w:hAnsi="Arial"/>
          <w:b/>
          <w:sz w:val="28"/>
        </w:rPr>
        <w:t>2016</w:t>
      </w:r>
    </w:p>
    <w:p w14:paraId="50EAB8A4" w14:textId="77777777" w:rsidR="008173C8" w:rsidRPr="004C3610" w:rsidRDefault="008173C8" w:rsidP="008173C8">
      <w:pPr>
        <w:jc w:val="right"/>
        <w:outlineLvl w:val="0"/>
        <w:rPr>
          <w:rFonts w:ascii="Arial" w:hAnsi="Arial" w:cs="Arial"/>
          <w:b/>
          <w:bCs/>
          <w:kern w:val="28"/>
          <w:sz w:val="48"/>
          <w:szCs w:val="32"/>
        </w:rPr>
      </w:pPr>
      <w:r>
        <w:rPr>
          <w:rFonts w:ascii="Arial" w:hAnsi="Arial" w:cs="Arial"/>
          <w:b/>
          <w:bCs/>
          <w:kern w:val="28"/>
          <w:sz w:val="48"/>
          <w:szCs w:val="32"/>
        </w:rPr>
        <w:t>Skilled Nursing</w:t>
      </w:r>
      <w:r w:rsidRPr="004C3610">
        <w:rPr>
          <w:rFonts w:ascii="Arial" w:hAnsi="Arial" w:cs="Arial"/>
          <w:b/>
          <w:bCs/>
          <w:kern w:val="28"/>
          <w:sz w:val="48"/>
          <w:szCs w:val="32"/>
        </w:rPr>
        <w:t xml:space="preserve"> Facility </w:t>
      </w:r>
    </w:p>
    <w:p w14:paraId="4BB1C15E" w14:textId="77777777" w:rsidR="004C3610" w:rsidRPr="004C3610" w:rsidRDefault="004C3610" w:rsidP="004C3610">
      <w:pPr>
        <w:jc w:val="right"/>
        <w:outlineLvl w:val="0"/>
        <w:rPr>
          <w:rFonts w:ascii="Arial" w:hAnsi="Arial" w:cs="Arial"/>
          <w:b/>
          <w:bCs/>
          <w:kern w:val="28"/>
          <w:sz w:val="48"/>
          <w:szCs w:val="32"/>
        </w:rPr>
      </w:pPr>
      <w:r w:rsidRPr="004C3610">
        <w:rPr>
          <w:rFonts w:ascii="Arial" w:hAnsi="Arial" w:cs="Arial"/>
          <w:b/>
          <w:bCs/>
          <w:kern w:val="28"/>
          <w:sz w:val="48"/>
          <w:szCs w:val="32"/>
        </w:rPr>
        <w:t xml:space="preserve">Quality Reporting Program - </w:t>
      </w:r>
    </w:p>
    <w:p w14:paraId="7D5421AA" w14:textId="6915C8FD" w:rsidR="004C3610" w:rsidRPr="004C3610" w:rsidRDefault="004C3610" w:rsidP="005A6F6F">
      <w:pPr>
        <w:jc w:val="right"/>
        <w:outlineLvl w:val="0"/>
        <w:rPr>
          <w:rFonts w:ascii="Arial" w:hAnsi="Arial" w:cs="Arial"/>
          <w:b/>
          <w:bCs/>
          <w:kern w:val="28"/>
          <w:sz w:val="48"/>
          <w:szCs w:val="32"/>
        </w:rPr>
      </w:pPr>
      <w:r w:rsidRPr="004C3610">
        <w:rPr>
          <w:rFonts w:ascii="Arial" w:hAnsi="Arial" w:cs="Arial"/>
          <w:b/>
          <w:bCs/>
          <w:kern w:val="28"/>
          <w:sz w:val="48"/>
          <w:szCs w:val="32"/>
        </w:rPr>
        <w:t>Specifications for</w:t>
      </w:r>
      <w:r w:rsidR="003778C9">
        <w:rPr>
          <w:rFonts w:ascii="Arial" w:hAnsi="Arial" w:cs="Arial"/>
          <w:b/>
          <w:bCs/>
          <w:kern w:val="28"/>
          <w:sz w:val="48"/>
          <w:szCs w:val="32"/>
        </w:rPr>
        <w:t xml:space="preserve"> </w:t>
      </w:r>
      <w:r w:rsidR="005A6F6F">
        <w:rPr>
          <w:rFonts w:ascii="Arial" w:hAnsi="Arial" w:cs="Arial"/>
          <w:b/>
          <w:bCs/>
          <w:kern w:val="28"/>
          <w:sz w:val="48"/>
          <w:szCs w:val="32"/>
        </w:rPr>
        <w:t>Percent of Residents or Patients with Pressure Ulcers That are New or Worsened (NQF #0678)</w:t>
      </w:r>
    </w:p>
    <w:p w14:paraId="5348BBCF" w14:textId="77777777" w:rsidR="00622965" w:rsidRDefault="00622965" w:rsidP="004C3610">
      <w:pPr>
        <w:spacing w:before="1440" w:after="240"/>
        <w:jc w:val="right"/>
        <w:rPr>
          <w:rFonts w:ascii="Arial" w:hAnsi="Arial"/>
        </w:rPr>
      </w:pPr>
    </w:p>
    <w:p w14:paraId="1F9C73E4" w14:textId="77777777" w:rsidR="004C3610" w:rsidRPr="00464E2C" w:rsidRDefault="004C3610" w:rsidP="004C3610">
      <w:pPr>
        <w:spacing w:before="1440" w:after="240"/>
        <w:jc w:val="right"/>
        <w:rPr>
          <w:szCs w:val="24"/>
        </w:rPr>
      </w:pPr>
      <w:r w:rsidRPr="00464E2C">
        <w:rPr>
          <w:szCs w:val="24"/>
        </w:rPr>
        <w:t>Prepared for</w:t>
      </w:r>
    </w:p>
    <w:p w14:paraId="5016B27E" w14:textId="77777777" w:rsidR="004C3610" w:rsidRPr="00464E2C" w:rsidRDefault="004C3610" w:rsidP="004C3610">
      <w:pPr>
        <w:jc w:val="right"/>
        <w:rPr>
          <w:b/>
          <w:bCs/>
          <w:szCs w:val="24"/>
        </w:rPr>
      </w:pPr>
      <w:r w:rsidRPr="00464E2C">
        <w:rPr>
          <w:b/>
          <w:bCs/>
          <w:szCs w:val="24"/>
        </w:rPr>
        <w:t>Center for Clinical Standards and Quality</w:t>
      </w:r>
    </w:p>
    <w:p w14:paraId="11CA5C40" w14:textId="77777777" w:rsidR="004C3610" w:rsidRPr="00464E2C" w:rsidRDefault="004C3610" w:rsidP="004C3610">
      <w:pPr>
        <w:jc w:val="right"/>
        <w:rPr>
          <w:szCs w:val="24"/>
        </w:rPr>
      </w:pPr>
      <w:r w:rsidRPr="00464E2C">
        <w:rPr>
          <w:szCs w:val="24"/>
        </w:rPr>
        <w:t>Centers for Medicare &amp; Medicaid Services</w:t>
      </w:r>
    </w:p>
    <w:p w14:paraId="1B41B9E0" w14:textId="77777777" w:rsidR="004C3610" w:rsidRPr="00464E2C" w:rsidRDefault="004C3610" w:rsidP="004C3610">
      <w:pPr>
        <w:jc w:val="right"/>
        <w:rPr>
          <w:szCs w:val="24"/>
        </w:rPr>
      </w:pPr>
      <w:r w:rsidRPr="00464E2C">
        <w:rPr>
          <w:szCs w:val="24"/>
        </w:rPr>
        <w:t>7500 Security Boulevard</w:t>
      </w:r>
    </w:p>
    <w:p w14:paraId="438489D0" w14:textId="77777777" w:rsidR="004C3610" w:rsidRPr="00464E2C" w:rsidRDefault="004C3610" w:rsidP="004C3610">
      <w:pPr>
        <w:jc w:val="right"/>
        <w:rPr>
          <w:szCs w:val="24"/>
        </w:rPr>
      </w:pPr>
      <w:r w:rsidRPr="00464E2C">
        <w:rPr>
          <w:szCs w:val="24"/>
        </w:rPr>
        <w:t>Baltimore, MD 21244-1850</w:t>
      </w:r>
    </w:p>
    <w:p w14:paraId="130A45C1" w14:textId="7810E79E" w:rsidR="004C3610" w:rsidRPr="00464E2C" w:rsidRDefault="004C3610" w:rsidP="00A325EF">
      <w:pPr>
        <w:spacing w:before="1200"/>
        <w:jc w:val="right"/>
        <w:rPr>
          <w:szCs w:val="24"/>
        </w:rPr>
      </w:pPr>
      <w:r w:rsidRPr="00464E2C">
        <w:rPr>
          <w:szCs w:val="24"/>
        </w:rPr>
        <w:t>CMS Contract No. HHSM-500-2013-13015I (HHSM-500-T0001)</w:t>
      </w:r>
    </w:p>
    <w:p w14:paraId="0C22A80D" w14:textId="77777777" w:rsidR="004C3610" w:rsidRPr="00464E2C" w:rsidRDefault="004C3610" w:rsidP="004C3610">
      <w:pPr>
        <w:rPr>
          <w:i/>
        </w:rPr>
        <w:sectPr w:rsidR="004C3610" w:rsidRPr="00464E2C" w:rsidSect="004F490F">
          <w:footerReference w:type="default" r:id="rId8"/>
          <w:footerReference w:type="first" r:id="rId9"/>
          <w:pgSz w:w="12240" w:h="15840" w:code="1"/>
          <w:pgMar w:top="1440" w:right="1440" w:bottom="1440" w:left="1440" w:header="720" w:footer="720" w:gutter="0"/>
          <w:cols w:space="720"/>
          <w:docGrid w:linePitch="326"/>
        </w:sectPr>
      </w:pPr>
    </w:p>
    <w:p w14:paraId="2895B146" w14:textId="30720177" w:rsidR="004C3610" w:rsidRPr="004C3610" w:rsidRDefault="008173C8" w:rsidP="008C7C5F">
      <w:pPr>
        <w:spacing w:before="1560" w:after="240"/>
        <w:jc w:val="center"/>
        <w:rPr>
          <w:caps/>
          <w:szCs w:val="24"/>
        </w:rPr>
      </w:pPr>
      <w:r>
        <w:rPr>
          <w:caps/>
          <w:szCs w:val="24"/>
        </w:rPr>
        <w:lastRenderedPageBreak/>
        <w:t xml:space="preserve">skilled nursing </w:t>
      </w:r>
      <w:r w:rsidRPr="004C3610">
        <w:rPr>
          <w:caps/>
          <w:szCs w:val="24"/>
        </w:rPr>
        <w:t>Facility Quality Reporting Program:</w:t>
      </w:r>
      <w:r w:rsidR="004C3610" w:rsidRPr="004C3610">
        <w:rPr>
          <w:caps/>
          <w:szCs w:val="24"/>
        </w:rPr>
        <w:br/>
      </w:r>
      <w:r w:rsidR="005A6F6F" w:rsidRPr="005A6F6F">
        <w:rPr>
          <w:caps/>
          <w:szCs w:val="24"/>
        </w:rPr>
        <w:t>Sp</w:t>
      </w:r>
      <w:r w:rsidR="008C7C5F">
        <w:rPr>
          <w:caps/>
          <w:szCs w:val="24"/>
        </w:rPr>
        <w:t>ecifications for PER</w:t>
      </w:r>
      <w:r w:rsidR="005A6F6F" w:rsidRPr="005A6F6F">
        <w:rPr>
          <w:caps/>
          <w:szCs w:val="24"/>
        </w:rPr>
        <w:t>cent of Residents or Patients with Pressure Ulcers That are New or Worsened (NQF #0678)</w:t>
      </w:r>
    </w:p>
    <w:p w14:paraId="11BE86E6" w14:textId="77777777" w:rsidR="004C3610" w:rsidRPr="004C3610" w:rsidRDefault="004C3610" w:rsidP="00BB0146">
      <w:pPr>
        <w:spacing w:before="2880" w:after="240"/>
        <w:jc w:val="center"/>
      </w:pPr>
      <w:r w:rsidRPr="004C3610">
        <w:t>RTI International</w:t>
      </w:r>
    </w:p>
    <w:p w14:paraId="5549EF6F" w14:textId="2D329930" w:rsidR="004C3610" w:rsidRPr="004C3610" w:rsidRDefault="004C3610" w:rsidP="00AA7E3A">
      <w:pPr>
        <w:spacing w:before="240" w:after="240"/>
        <w:jc w:val="center"/>
        <w:rPr>
          <w:caps/>
          <w:color w:val="243F60"/>
          <w:spacing w:val="5"/>
          <w:sz w:val="22"/>
        </w:rPr>
      </w:pPr>
      <w:r w:rsidRPr="004C3610">
        <w:t xml:space="preserve">CMS Contract </w:t>
      </w:r>
      <w:r w:rsidRPr="004C3610">
        <w:rPr>
          <w:szCs w:val="24"/>
        </w:rPr>
        <w:t xml:space="preserve">No. </w:t>
      </w:r>
      <w:r w:rsidRPr="004C3610">
        <w:rPr>
          <w:caps/>
          <w:spacing w:val="5"/>
        </w:rPr>
        <w:t>HHSM-500-20</w:t>
      </w:r>
      <w:r w:rsidR="00AA7E3A">
        <w:rPr>
          <w:caps/>
          <w:spacing w:val="5"/>
        </w:rPr>
        <w:t>13</w:t>
      </w:r>
      <w:r w:rsidRPr="004C3610">
        <w:rPr>
          <w:caps/>
          <w:spacing w:val="5"/>
        </w:rPr>
        <w:t>-</w:t>
      </w:r>
      <w:r w:rsidR="00AA7E3A">
        <w:rPr>
          <w:caps/>
          <w:spacing w:val="5"/>
        </w:rPr>
        <w:t>13015I</w:t>
      </w:r>
    </w:p>
    <w:p w14:paraId="107352EA" w14:textId="7E62F715" w:rsidR="004C3610" w:rsidRPr="004C3610" w:rsidRDefault="004A3B43" w:rsidP="004C3610">
      <w:pPr>
        <w:spacing w:before="240" w:after="240"/>
        <w:jc w:val="center"/>
      </w:pPr>
      <w:r>
        <w:t xml:space="preserve">August </w:t>
      </w:r>
      <w:r w:rsidR="003205F2">
        <w:t>2016</w:t>
      </w:r>
    </w:p>
    <w:p w14:paraId="33408977" w14:textId="12835FF5" w:rsidR="004C3610" w:rsidRPr="004C3610" w:rsidRDefault="004C3610" w:rsidP="00313CE0">
      <w:pPr>
        <w:spacing w:before="2400"/>
        <w:jc w:val="both"/>
      </w:pPr>
      <w:r w:rsidRPr="004C3610">
        <w:t xml:space="preserve">This project was funded by the Centers for Medicare &amp; Medicaid Services under contract no. </w:t>
      </w:r>
      <w:r w:rsidRPr="00464E2C">
        <w:t>HHSM-500-2013-13015I (HHSM-500-T0001).</w:t>
      </w:r>
      <w:r w:rsidRPr="004C3610">
        <w:t xml:space="preserve">  </w:t>
      </w:r>
    </w:p>
    <w:p w14:paraId="4DE66562" w14:textId="77777777" w:rsidR="004C3610" w:rsidRDefault="004C3610" w:rsidP="004C3610">
      <w:pPr>
        <w:jc w:val="center"/>
        <w:rPr>
          <w:b/>
          <w:caps/>
        </w:rPr>
      </w:pPr>
    </w:p>
    <w:p w14:paraId="6C9F4B55" w14:textId="77777777" w:rsidR="00392AB2" w:rsidRPr="004C3610" w:rsidRDefault="00392AB2" w:rsidP="004C3610">
      <w:pPr>
        <w:jc w:val="center"/>
        <w:rPr>
          <w:b/>
          <w:caps/>
        </w:rPr>
        <w:sectPr w:rsidR="00392AB2" w:rsidRPr="004C3610">
          <w:headerReference w:type="first" r:id="rId10"/>
          <w:footerReference w:type="first" r:id="rId11"/>
          <w:pgSz w:w="12240" w:h="15840" w:code="1"/>
          <w:pgMar w:top="1440" w:right="1440" w:bottom="1440" w:left="1440" w:header="720" w:footer="720" w:gutter="0"/>
          <w:cols w:space="720"/>
          <w:titlePg/>
        </w:sectPr>
      </w:pPr>
    </w:p>
    <w:p w14:paraId="1ACC4190" w14:textId="2ED95594" w:rsidR="004C3610" w:rsidRPr="004C3610" w:rsidRDefault="00530784" w:rsidP="004C3610">
      <w:pPr>
        <w:spacing w:before="240" w:after="240"/>
        <w:jc w:val="center"/>
        <w:outlineLvl w:val="0"/>
        <w:rPr>
          <w:rFonts w:ascii="Times New Roman Bold" w:hAnsi="Times New Roman Bold"/>
          <w:b/>
          <w:caps/>
          <w:szCs w:val="24"/>
        </w:rPr>
      </w:pPr>
      <w:r>
        <w:rPr>
          <w:rFonts w:ascii="Times New Roman Bold" w:hAnsi="Times New Roman Bold"/>
          <w:b/>
          <w:caps/>
          <w:szCs w:val="24"/>
        </w:rPr>
        <w:lastRenderedPageBreak/>
        <w:t xml:space="preserve">Table of </w:t>
      </w:r>
      <w:r w:rsidR="004C3610" w:rsidRPr="004C3610">
        <w:rPr>
          <w:rFonts w:ascii="Times New Roman Bold" w:hAnsi="Times New Roman Bold"/>
          <w:b/>
          <w:caps/>
          <w:szCs w:val="24"/>
        </w:rPr>
        <w:t>CONTENTS</w:t>
      </w:r>
    </w:p>
    <w:p w14:paraId="1C5BC52D" w14:textId="77777777" w:rsidR="00464E2C" w:rsidRDefault="00A72BC6">
      <w:pPr>
        <w:pStyle w:val="TOC1"/>
        <w:rPr>
          <w:rFonts w:asciiTheme="minorHAnsi" w:eastAsiaTheme="minorEastAsia" w:hAnsiTheme="minorHAnsi" w:cstheme="minorBidi"/>
          <w:color w:val="auto"/>
          <w:sz w:val="22"/>
          <w:szCs w:val="22"/>
          <w:lang w:eastAsia="zh-CN"/>
        </w:rPr>
      </w:pPr>
      <w:r w:rsidRPr="00A72BC6">
        <w:rPr>
          <w:color w:val="auto"/>
        </w:rPr>
        <w:fldChar w:fldCharType="begin"/>
      </w:r>
      <w:r w:rsidRPr="00A72BC6">
        <w:rPr>
          <w:color w:val="auto"/>
        </w:rPr>
        <w:instrText xml:space="preserve"> TOC \h \z \t "Heading 2,1,Heading 3,2,Heading 4,3" </w:instrText>
      </w:r>
      <w:r w:rsidRPr="00A72BC6">
        <w:rPr>
          <w:color w:val="auto"/>
        </w:rPr>
        <w:fldChar w:fldCharType="separate"/>
      </w:r>
      <w:hyperlink w:anchor="_Toc454378153" w:history="1">
        <w:r w:rsidR="00464E2C" w:rsidRPr="00F9028D">
          <w:rPr>
            <w:rStyle w:val="Hyperlink"/>
          </w:rPr>
          <w:t>Section 1 Cross-Setting Measures Development Work: An Introduction</w:t>
        </w:r>
        <w:r w:rsidR="00464E2C">
          <w:rPr>
            <w:webHidden/>
          </w:rPr>
          <w:tab/>
        </w:r>
        <w:r w:rsidR="00464E2C">
          <w:rPr>
            <w:webHidden/>
          </w:rPr>
          <w:fldChar w:fldCharType="begin"/>
        </w:r>
        <w:r w:rsidR="00464E2C">
          <w:rPr>
            <w:webHidden/>
          </w:rPr>
          <w:instrText xml:space="preserve"> PAGEREF _Toc454378153 \h </w:instrText>
        </w:r>
        <w:r w:rsidR="00464E2C">
          <w:rPr>
            <w:webHidden/>
          </w:rPr>
        </w:r>
        <w:r w:rsidR="00464E2C">
          <w:rPr>
            <w:webHidden/>
          </w:rPr>
          <w:fldChar w:fldCharType="separate"/>
        </w:r>
        <w:r w:rsidR="00464E2C">
          <w:rPr>
            <w:webHidden/>
          </w:rPr>
          <w:t>1</w:t>
        </w:r>
        <w:r w:rsidR="00464E2C">
          <w:rPr>
            <w:webHidden/>
          </w:rPr>
          <w:fldChar w:fldCharType="end"/>
        </w:r>
      </w:hyperlink>
    </w:p>
    <w:p w14:paraId="07A8224C" w14:textId="01DA9637" w:rsidR="00464E2C" w:rsidRDefault="00E04E05">
      <w:pPr>
        <w:pStyle w:val="TOC1"/>
        <w:rPr>
          <w:rFonts w:asciiTheme="minorHAnsi" w:eastAsiaTheme="minorEastAsia" w:hAnsiTheme="minorHAnsi" w:cstheme="minorBidi"/>
          <w:color w:val="auto"/>
          <w:sz w:val="22"/>
          <w:szCs w:val="22"/>
          <w:lang w:eastAsia="zh-CN"/>
        </w:rPr>
      </w:pPr>
      <w:hyperlink w:anchor="_Toc454378154" w:history="1">
        <w:r w:rsidR="00464E2C" w:rsidRPr="00F9028D">
          <w:rPr>
            <w:rStyle w:val="Hyperlink"/>
          </w:rPr>
          <w:t xml:space="preserve">Section 2  Cross-Setting Pressure Ulcer Measure:                                                </w:t>
        </w:r>
        <w:r w:rsidR="00464E2C">
          <w:rPr>
            <w:rStyle w:val="Hyperlink"/>
          </w:rPr>
          <w:t xml:space="preserve">       </w:t>
        </w:r>
        <w:r w:rsidR="00464E2C" w:rsidRPr="00F9028D">
          <w:rPr>
            <w:rStyle w:val="Hyperlink"/>
          </w:rPr>
          <w:t>Percent of Residents or Patients with Pressure Ulcers That Are New or Worsened (NQF #0678)</w:t>
        </w:r>
        <w:r w:rsidR="00464E2C">
          <w:rPr>
            <w:webHidden/>
          </w:rPr>
          <w:tab/>
        </w:r>
        <w:r w:rsidR="00464E2C">
          <w:rPr>
            <w:webHidden/>
          </w:rPr>
          <w:fldChar w:fldCharType="begin"/>
        </w:r>
        <w:r w:rsidR="00464E2C">
          <w:rPr>
            <w:webHidden/>
          </w:rPr>
          <w:instrText xml:space="preserve"> PAGEREF _Toc454378154 \h </w:instrText>
        </w:r>
        <w:r w:rsidR="00464E2C">
          <w:rPr>
            <w:webHidden/>
          </w:rPr>
        </w:r>
        <w:r w:rsidR="00464E2C">
          <w:rPr>
            <w:webHidden/>
          </w:rPr>
          <w:fldChar w:fldCharType="separate"/>
        </w:r>
        <w:r w:rsidR="00464E2C">
          <w:rPr>
            <w:webHidden/>
          </w:rPr>
          <w:t>3</w:t>
        </w:r>
        <w:r w:rsidR="00464E2C">
          <w:rPr>
            <w:webHidden/>
          </w:rPr>
          <w:fldChar w:fldCharType="end"/>
        </w:r>
      </w:hyperlink>
    </w:p>
    <w:p w14:paraId="58387402" w14:textId="77777777" w:rsidR="00464E2C" w:rsidRDefault="00E04E05">
      <w:pPr>
        <w:pStyle w:val="TOC3"/>
        <w:tabs>
          <w:tab w:val="left" w:pos="1620"/>
        </w:tabs>
        <w:rPr>
          <w:rFonts w:asciiTheme="minorHAnsi" w:eastAsiaTheme="minorEastAsia" w:hAnsiTheme="minorHAnsi" w:cstheme="minorBidi"/>
          <w:color w:val="auto"/>
          <w:sz w:val="22"/>
          <w:szCs w:val="22"/>
          <w:lang w:eastAsia="zh-CN"/>
        </w:rPr>
      </w:pPr>
      <w:hyperlink w:anchor="_Toc454378155" w:history="1">
        <w:r w:rsidR="00464E2C" w:rsidRPr="00F9028D">
          <w:rPr>
            <w:rStyle w:val="Hyperlink"/>
          </w:rPr>
          <w:t>2.1</w:t>
        </w:r>
        <w:r w:rsidR="00464E2C">
          <w:rPr>
            <w:rFonts w:asciiTheme="minorHAnsi" w:eastAsiaTheme="minorEastAsia" w:hAnsiTheme="minorHAnsi" w:cstheme="minorBidi"/>
            <w:color w:val="auto"/>
            <w:sz w:val="22"/>
            <w:szCs w:val="22"/>
            <w:lang w:eastAsia="zh-CN"/>
          </w:rPr>
          <w:tab/>
        </w:r>
        <w:r w:rsidR="00464E2C" w:rsidRPr="00F9028D">
          <w:rPr>
            <w:rStyle w:val="Hyperlink"/>
          </w:rPr>
          <w:t>Quality Measure Description</w:t>
        </w:r>
        <w:r w:rsidR="00464E2C">
          <w:rPr>
            <w:webHidden/>
          </w:rPr>
          <w:tab/>
        </w:r>
        <w:r w:rsidR="00464E2C">
          <w:rPr>
            <w:webHidden/>
          </w:rPr>
          <w:fldChar w:fldCharType="begin"/>
        </w:r>
        <w:r w:rsidR="00464E2C">
          <w:rPr>
            <w:webHidden/>
          </w:rPr>
          <w:instrText xml:space="preserve"> PAGEREF _Toc454378155 \h </w:instrText>
        </w:r>
        <w:r w:rsidR="00464E2C">
          <w:rPr>
            <w:webHidden/>
          </w:rPr>
        </w:r>
        <w:r w:rsidR="00464E2C">
          <w:rPr>
            <w:webHidden/>
          </w:rPr>
          <w:fldChar w:fldCharType="separate"/>
        </w:r>
        <w:r w:rsidR="00464E2C">
          <w:rPr>
            <w:webHidden/>
          </w:rPr>
          <w:t>3</w:t>
        </w:r>
        <w:r w:rsidR="00464E2C">
          <w:rPr>
            <w:webHidden/>
          </w:rPr>
          <w:fldChar w:fldCharType="end"/>
        </w:r>
      </w:hyperlink>
    </w:p>
    <w:p w14:paraId="08C745A0" w14:textId="77777777" w:rsidR="00464E2C" w:rsidRDefault="00E04E05">
      <w:pPr>
        <w:pStyle w:val="TOC3"/>
        <w:tabs>
          <w:tab w:val="left" w:pos="1620"/>
        </w:tabs>
        <w:rPr>
          <w:rFonts w:asciiTheme="minorHAnsi" w:eastAsiaTheme="minorEastAsia" w:hAnsiTheme="minorHAnsi" w:cstheme="minorBidi"/>
          <w:color w:val="auto"/>
          <w:sz w:val="22"/>
          <w:szCs w:val="22"/>
          <w:lang w:eastAsia="zh-CN"/>
        </w:rPr>
      </w:pPr>
      <w:hyperlink w:anchor="_Toc454378156" w:history="1">
        <w:r w:rsidR="00464E2C" w:rsidRPr="00F9028D">
          <w:rPr>
            <w:rStyle w:val="Hyperlink"/>
          </w:rPr>
          <w:t>2.2</w:t>
        </w:r>
        <w:r w:rsidR="00464E2C">
          <w:rPr>
            <w:rFonts w:asciiTheme="minorHAnsi" w:eastAsiaTheme="minorEastAsia" w:hAnsiTheme="minorHAnsi" w:cstheme="minorBidi"/>
            <w:color w:val="auto"/>
            <w:sz w:val="22"/>
            <w:szCs w:val="22"/>
            <w:lang w:eastAsia="zh-CN"/>
          </w:rPr>
          <w:tab/>
        </w:r>
        <w:r w:rsidR="00464E2C" w:rsidRPr="00F9028D">
          <w:rPr>
            <w:rStyle w:val="Hyperlink"/>
          </w:rPr>
          <w:t>Purpose/Rationale for Quality Measure</w:t>
        </w:r>
        <w:r w:rsidR="00464E2C">
          <w:rPr>
            <w:webHidden/>
          </w:rPr>
          <w:tab/>
        </w:r>
        <w:r w:rsidR="00464E2C">
          <w:rPr>
            <w:webHidden/>
          </w:rPr>
          <w:fldChar w:fldCharType="begin"/>
        </w:r>
        <w:r w:rsidR="00464E2C">
          <w:rPr>
            <w:webHidden/>
          </w:rPr>
          <w:instrText xml:space="preserve"> PAGEREF _Toc454378156 \h </w:instrText>
        </w:r>
        <w:r w:rsidR="00464E2C">
          <w:rPr>
            <w:webHidden/>
          </w:rPr>
        </w:r>
        <w:r w:rsidR="00464E2C">
          <w:rPr>
            <w:webHidden/>
          </w:rPr>
          <w:fldChar w:fldCharType="separate"/>
        </w:r>
        <w:r w:rsidR="00464E2C">
          <w:rPr>
            <w:webHidden/>
          </w:rPr>
          <w:t>3</w:t>
        </w:r>
        <w:r w:rsidR="00464E2C">
          <w:rPr>
            <w:webHidden/>
          </w:rPr>
          <w:fldChar w:fldCharType="end"/>
        </w:r>
      </w:hyperlink>
    </w:p>
    <w:p w14:paraId="5FC6B6E2" w14:textId="77777777" w:rsidR="00464E2C" w:rsidRDefault="00E04E05">
      <w:pPr>
        <w:pStyle w:val="TOC3"/>
        <w:tabs>
          <w:tab w:val="left" w:pos="1620"/>
        </w:tabs>
        <w:rPr>
          <w:rFonts w:asciiTheme="minorHAnsi" w:eastAsiaTheme="minorEastAsia" w:hAnsiTheme="minorHAnsi" w:cstheme="minorBidi"/>
          <w:color w:val="auto"/>
          <w:sz w:val="22"/>
          <w:szCs w:val="22"/>
          <w:lang w:eastAsia="zh-CN"/>
        </w:rPr>
      </w:pPr>
      <w:hyperlink w:anchor="_Toc454378157" w:history="1">
        <w:r w:rsidR="00464E2C" w:rsidRPr="00F9028D">
          <w:rPr>
            <w:rStyle w:val="Hyperlink"/>
          </w:rPr>
          <w:t>2.3</w:t>
        </w:r>
        <w:r w:rsidR="00464E2C">
          <w:rPr>
            <w:rFonts w:asciiTheme="minorHAnsi" w:eastAsiaTheme="minorEastAsia" w:hAnsiTheme="minorHAnsi" w:cstheme="minorBidi"/>
            <w:color w:val="auto"/>
            <w:sz w:val="22"/>
            <w:szCs w:val="22"/>
            <w:lang w:eastAsia="zh-CN"/>
          </w:rPr>
          <w:tab/>
        </w:r>
        <w:r w:rsidR="00464E2C" w:rsidRPr="00F9028D">
          <w:rPr>
            <w:rStyle w:val="Hyperlink"/>
          </w:rPr>
          <w:t>Denominator</w:t>
        </w:r>
        <w:r w:rsidR="00464E2C">
          <w:rPr>
            <w:webHidden/>
          </w:rPr>
          <w:tab/>
        </w:r>
        <w:r w:rsidR="00464E2C">
          <w:rPr>
            <w:webHidden/>
          </w:rPr>
          <w:fldChar w:fldCharType="begin"/>
        </w:r>
        <w:r w:rsidR="00464E2C">
          <w:rPr>
            <w:webHidden/>
          </w:rPr>
          <w:instrText xml:space="preserve"> PAGEREF _Toc454378157 \h </w:instrText>
        </w:r>
        <w:r w:rsidR="00464E2C">
          <w:rPr>
            <w:webHidden/>
          </w:rPr>
        </w:r>
        <w:r w:rsidR="00464E2C">
          <w:rPr>
            <w:webHidden/>
          </w:rPr>
          <w:fldChar w:fldCharType="separate"/>
        </w:r>
        <w:r w:rsidR="00464E2C">
          <w:rPr>
            <w:webHidden/>
          </w:rPr>
          <w:t>6</w:t>
        </w:r>
        <w:r w:rsidR="00464E2C">
          <w:rPr>
            <w:webHidden/>
          </w:rPr>
          <w:fldChar w:fldCharType="end"/>
        </w:r>
      </w:hyperlink>
    </w:p>
    <w:p w14:paraId="6562D8F0" w14:textId="77777777" w:rsidR="00464E2C" w:rsidRDefault="00E04E05">
      <w:pPr>
        <w:pStyle w:val="TOC3"/>
        <w:tabs>
          <w:tab w:val="left" w:pos="1620"/>
        </w:tabs>
        <w:rPr>
          <w:rFonts w:asciiTheme="minorHAnsi" w:eastAsiaTheme="minorEastAsia" w:hAnsiTheme="minorHAnsi" w:cstheme="minorBidi"/>
          <w:color w:val="auto"/>
          <w:sz w:val="22"/>
          <w:szCs w:val="22"/>
          <w:lang w:eastAsia="zh-CN"/>
        </w:rPr>
      </w:pPr>
      <w:hyperlink w:anchor="_Toc454378158" w:history="1">
        <w:r w:rsidR="00464E2C" w:rsidRPr="00F9028D">
          <w:rPr>
            <w:rStyle w:val="Hyperlink"/>
          </w:rPr>
          <w:t>2.4</w:t>
        </w:r>
        <w:r w:rsidR="00464E2C">
          <w:rPr>
            <w:rFonts w:asciiTheme="minorHAnsi" w:eastAsiaTheme="minorEastAsia" w:hAnsiTheme="minorHAnsi" w:cstheme="minorBidi"/>
            <w:color w:val="auto"/>
            <w:sz w:val="22"/>
            <w:szCs w:val="22"/>
            <w:lang w:eastAsia="zh-CN"/>
          </w:rPr>
          <w:tab/>
        </w:r>
        <w:r w:rsidR="00464E2C" w:rsidRPr="00F9028D">
          <w:rPr>
            <w:rStyle w:val="Hyperlink"/>
          </w:rPr>
          <w:t>Numerator</w:t>
        </w:r>
        <w:r w:rsidR="00464E2C">
          <w:rPr>
            <w:webHidden/>
          </w:rPr>
          <w:tab/>
        </w:r>
        <w:r w:rsidR="00464E2C">
          <w:rPr>
            <w:webHidden/>
          </w:rPr>
          <w:fldChar w:fldCharType="begin"/>
        </w:r>
        <w:r w:rsidR="00464E2C">
          <w:rPr>
            <w:webHidden/>
          </w:rPr>
          <w:instrText xml:space="preserve"> PAGEREF _Toc454378158 \h </w:instrText>
        </w:r>
        <w:r w:rsidR="00464E2C">
          <w:rPr>
            <w:webHidden/>
          </w:rPr>
        </w:r>
        <w:r w:rsidR="00464E2C">
          <w:rPr>
            <w:webHidden/>
          </w:rPr>
          <w:fldChar w:fldCharType="separate"/>
        </w:r>
        <w:r w:rsidR="00464E2C">
          <w:rPr>
            <w:webHidden/>
          </w:rPr>
          <w:t>7</w:t>
        </w:r>
        <w:r w:rsidR="00464E2C">
          <w:rPr>
            <w:webHidden/>
          </w:rPr>
          <w:fldChar w:fldCharType="end"/>
        </w:r>
      </w:hyperlink>
    </w:p>
    <w:p w14:paraId="1C294B0D" w14:textId="77777777" w:rsidR="00464E2C" w:rsidRDefault="00E04E05">
      <w:pPr>
        <w:pStyle w:val="TOC3"/>
        <w:tabs>
          <w:tab w:val="left" w:pos="1620"/>
        </w:tabs>
        <w:rPr>
          <w:rFonts w:asciiTheme="minorHAnsi" w:eastAsiaTheme="minorEastAsia" w:hAnsiTheme="minorHAnsi" w:cstheme="minorBidi"/>
          <w:color w:val="auto"/>
          <w:sz w:val="22"/>
          <w:szCs w:val="22"/>
          <w:lang w:eastAsia="zh-CN"/>
        </w:rPr>
      </w:pPr>
      <w:hyperlink w:anchor="_Toc454378159" w:history="1">
        <w:r w:rsidR="00464E2C" w:rsidRPr="00F9028D">
          <w:rPr>
            <w:rStyle w:val="Hyperlink"/>
          </w:rPr>
          <w:t>2.5</w:t>
        </w:r>
        <w:r w:rsidR="00464E2C">
          <w:rPr>
            <w:rFonts w:asciiTheme="minorHAnsi" w:eastAsiaTheme="minorEastAsia" w:hAnsiTheme="minorHAnsi" w:cstheme="minorBidi"/>
            <w:color w:val="auto"/>
            <w:sz w:val="22"/>
            <w:szCs w:val="22"/>
            <w:lang w:eastAsia="zh-CN"/>
          </w:rPr>
          <w:tab/>
        </w:r>
        <w:r w:rsidR="00464E2C" w:rsidRPr="00F9028D">
          <w:rPr>
            <w:rStyle w:val="Hyperlink"/>
          </w:rPr>
          <w:t>Measure Time Window</w:t>
        </w:r>
        <w:r w:rsidR="00464E2C">
          <w:rPr>
            <w:webHidden/>
          </w:rPr>
          <w:tab/>
        </w:r>
        <w:r w:rsidR="00464E2C">
          <w:rPr>
            <w:webHidden/>
          </w:rPr>
          <w:fldChar w:fldCharType="begin"/>
        </w:r>
        <w:r w:rsidR="00464E2C">
          <w:rPr>
            <w:webHidden/>
          </w:rPr>
          <w:instrText xml:space="preserve"> PAGEREF _Toc454378159 \h </w:instrText>
        </w:r>
        <w:r w:rsidR="00464E2C">
          <w:rPr>
            <w:webHidden/>
          </w:rPr>
        </w:r>
        <w:r w:rsidR="00464E2C">
          <w:rPr>
            <w:webHidden/>
          </w:rPr>
          <w:fldChar w:fldCharType="separate"/>
        </w:r>
        <w:r w:rsidR="00464E2C">
          <w:rPr>
            <w:webHidden/>
          </w:rPr>
          <w:t>8</w:t>
        </w:r>
        <w:r w:rsidR="00464E2C">
          <w:rPr>
            <w:webHidden/>
          </w:rPr>
          <w:fldChar w:fldCharType="end"/>
        </w:r>
      </w:hyperlink>
    </w:p>
    <w:p w14:paraId="7730FFB8" w14:textId="77777777" w:rsidR="00464E2C" w:rsidRDefault="00E04E05">
      <w:pPr>
        <w:pStyle w:val="TOC3"/>
        <w:tabs>
          <w:tab w:val="left" w:pos="1620"/>
        </w:tabs>
        <w:rPr>
          <w:rFonts w:asciiTheme="minorHAnsi" w:eastAsiaTheme="minorEastAsia" w:hAnsiTheme="minorHAnsi" w:cstheme="minorBidi"/>
          <w:color w:val="auto"/>
          <w:sz w:val="22"/>
          <w:szCs w:val="22"/>
          <w:lang w:eastAsia="zh-CN"/>
        </w:rPr>
      </w:pPr>
      <w:hyperlink w:anchor="_Toc454378160" w:history="1">
        <w:r w:rsidR="00464E2C" w:rsidRPr="00F9028D">
          <w:rPr>
            <w:rStyle w:val="Hyperlink"/>
          </w:rPr>
          <w:t>2.6</w:t>
        </w:r>
        <w:r w:rsidR="00464E2C">
          <w:rPr>
            <w:rFonts w:asciiTheme="minorHAnsi" w:eastAsiaTheme="minorEastAsia" w:hAnsiTheme="minorHAnsi" w:cstheme="minorBidi"/>
            <w:color w:val="auto"/>
            <w:sz w:val="22"/>
            <w:szCs w:val="22"/>
            <w:lang w:eastAsia="zh-CN"/>
          </w:rPr>
          <w:tab/>
        </w:r>
        <w:r w:rsidR="00464E2C" w:rsidRPr="00F9028D">
          <w:rPr>
            <w:rStyle w:val="Hyperlink"/>
          </w:rPr>
          <w:t>Risk Adjustment Covariates</w:t>
        </w:r>
        <w:r w:rsidR="00464E2C">
          <w:rPr>
            <w:webHidden/>
          </w:rPr>
          <w:tab/>
        </w:r>
        <w:r w:rsidR="00464E2C">
          <w:rPr>
            <w:webHidden/>
          </w:rPr>
          <w:fldChar w:fldCharType="begin"/>
        </w:r>
        <w:r w:rsidR="00464E2C">
          <w:rPr>
            <w:webHidden/>
          </w:rPr>
          <w:instrText xml:space="preserve"> PAGEREF _Toc454378160 \h </w:instrText>
        </w:r>
        <w:r w:rsidR="00464E2C">
          <w:rPr>
            <w:webHidden/>
          </w:rPr>
        </w:r>
        <w:r w:rsidR="00464E2C">
          <w:rPr>
            <w:webHidden/>
          </w:rPr>
          <w:fldChar w:fldCharType="separate"/>
        </w:r>
        <w:r w:rsidR="00464E2C">
          <w:rPr>
            <w:webHidden/>
          </w:rPr>
          <w:t>8</w:t>
        </w:r>
        <w:r w:rsidR="00464E2C">
          <w:rPr>
            <w:webHidden/>
          </w:rPr>
          <w:fldChar w:fldCharType="end"/>
        </w:r>
      </w:hyperlink>
    </w:p>
    <w:p w14:paraId="2DCF396B" w14:textId="77777777" w:rsidR="00464E2C" w:rsidRDefault="00E04E05">
      <w:pPr>
        <w:pStyle w:val="TOC3"/>
        <w:tabs>
          <w:tab w:val="left" w:pos="1620"/>
        </w:tabs>
        <w:rPr>
          <w:rFonts w:asciiTheme="minorHAnsi" w:eastAsiaTheme="minorEastAsia" w:hAnsiTheme="minorHAnsi" w:cstheme="minorBidi"/>
          <w:color w:val="auto"/>
          <w:sz w:val="22"/>
          <w:szCs w:val="22"/>
          <w:lang w:eastAsia="zh-CN"/>
        </w:rPr>
      </w:pPr>
      <w:hyperlink w:anchor="_Toc454378161" w:history="1">
        <w:r w:rsidR="00464E2C" w:rsidRPr="00F9028D">
          <w:rPr>
            <w:rStyle w:val="Hyperlink"/>
          </w:rPr>
          <w:t>2.7</w:t>
        </w:r>
        <w:r w:rsidR="00464E2C">
          <w:rPr>
            <w:rFonts w:asciiTheme="minorHAnsi" w:eastAsiaTheme="minorEastAsia" w:hAnsiTheme="minorHAnsi" w:cstheme="minorBidi"/>
            <w:color w:val="auto"/>
            <w:sz w:val="22"/>
            <w:szCs w:val="22"/>
            <w:lang w:eastAsia="zh-CN"/>
          </w:rPr>
          <w:tab/>
        </w:r>
        <w:r w:rsidR="00464E2C" w:rsidRPr="00F9028D">
          <w:rPr>
            <w:rStyle w:val="Hyperlink"/>
          </w:rPr>
          <w:t>Quality Measure Calculation Algorithm</w:t>
        </w:r>
        <w:r w:rsidR="00464E2C">
          <w:rPr>
            <w:webHidden/>
          </w:rPr>
          <w:tab/>
        </w:r>
        <w:r w:rsidR="00464E2C">
          <w:rPr>
            <w:webHidden/>
          </w:rPr>
          <w:fldChar w:fldCharType="begin"/>
        </w:r>
        <w:r w:rsidR="00464E2C">
          <w:rPr>
            <w:webHidden/>
          </w:rPr>
          <w:instrText xml:space="preserve"> PAGEREF _Toc454378161 \h </w:instrText>
        </w:r>
        <w:r w:rsidR="00464E2C">
          <w:rPr>
            <w:webHidden/>
          </w:rPr>
        </w:r>
        <w:r w:rsidR="00464E2C">
          <w:rPr>
            <w:webHidden/>
          </w:rPr>
          <w:fldChar w:fldCharType="separate"/>
        </w:r>
        <w:r w:rsidR="00464E2C">
          <w:rPr>
            <w:webHidden/>
          </w:rPr>
          <w:t>11</w:t>
        </w:r>
        <w:r w:rsidR="00464E2C">
          <w:rPr>
            <w:webHidden/>
          </w:rPr>
          <w:fldChar w:fldCharType="end"/>
        </w:r>
      </w:hyperlink>
    </w:p>
    <w:p w14:paraId="02E75553" w14:textId="3CA594C2" w:rsidR="004D5FE9" w:rsidRPr="004F490F" w:rsidRDefault="00A72BC6" w:rsidP="00A07199">
      <w:pPr>
        <w:pStyle w:val="TOC1"/>
        <w:ind w:left="0" w:firstLine="0"/>
      </w:pPr>
      <w:r w:rsidRPr="00A72BC6">
        <w:fldChar w:fldCharType="end"/>
      </w:r>
    </w:p>
    <w:p w14:paraId="6078BFB5" w14:textId="77777777" w:rsidR="004D5FE9" w:rsidRDefault="004D5FE9"/>
    <w:p w14:paraId="27437E27" w14:textId="77777777" w:rsidR="004F490F" w:rsidRPr="004F490F" w:rsidRDefault="004F490F" w:rsidP="001D303B">
      <w:pPr>
        <w:jc w:val="center"/>
        <w:sectPr w:rsidR="004F490F" w:rsidRPr="004F490F" w:rsidSect="004F490F">
          <w:headerReference w:type="default" r:id="rId12"/>
          <w:footerReference w:type="default" r:id="rId13"/>
          <w:pgSz w:w="12240" w:h="15840" w:code="1"/>
          <w:pgMar w:top="1440" w:right="1440" w:bottom="1440" w:left="1440" w:header="720" w:footer="720" w:gutter="0"/>
          <w:pgNumType w:fmt="lowerRoman" w:start="3"/>
          <w:cols w:space="720"/>
        </w:sectPr>
      </w:pPr>
    </w:p>
    <w:p w14:paraId="05F2FAAF" w14:textId="77777777" w:rsidR="008173C8" w:rsidRPr="006E1400" w:rsidRDefault="008173C8" w:rsidP="008173C8">
      <w:pPr>
        <w:pStyle w:val="Heading2"/>
      </w:pPr>
      <w:bookmarkStart w:id="3" w:name="_Toc163267773"/>
      <w:bookmarkStart w:id="4" w:name="_Toc163268017"/>
      <w:bookmarkStart w:id="5" w:name="_Toc417301289"/>
      <w:bookmarkStart w:id="6" w:name="_Toc454378153"/>
      <w:r w:rsidRPr="004F490F">
        <w:lastRenderedPageBreak/>
        <w:t>Section 1</w:t>
      </w:r>
      <w:r w:rsidRPr="004F490F">
        <w:rPr>
          <w:rFonts w:ascii="Times New Roman" w:hAnsi="Times New Roman"/>
          <w:b w:val="0"/>
          <w:caps w:val="0"/>
        </w:rPr>
        <w:br/>
      </w:r>
      <w:bookmarkEnd w:id="3"/>
      <w:bookmarkEnd w:id="4"/>
      <w:r>
        <w:t xml:space="preserve">Cross-Setting Measures Development Work: An </w:t>
      </w:r>
      <w:r w:rsidRPr="006E1400">
        <w:t>Introduction</w:t>
      </w:r>
      <w:bookmarkEnd w:id="5"/>
      <w:bookmarkEnd w:id="6"/>
    </w:p>
    <w:p w14:paraId="5587AD37" w14:textId="326F7AD3" w:rsidR="008173C8" w:rsidRDefault="008173C8" w:rsidP="008173C8">
      <w:pPr>
        <w:pStyle w:val="BodyText"/>
      </w:pPr>
      <w:r w:rsidRPr="006E1400">
        <w:t xml:space="preserve">The </w:t>
      </w:r>
      <w:r w:rsidRPr="00DB15E6">
        <w:t xml:space="preserve">Improving Medicare Post-Acute Care Transformation </w:t>
      </w:r>
      <w:r>
        <w:t>(</w:t>
      </w:r>
      <w:r w:rsidRPr="006E1400">
        <w:t>IMPACT</w:t>
      </w:r>
      <w:r>
        <w:t>)</w:t>
      </w:r>
      <w:r w:rsidRPr="006E1400">
        <w:t xml:space="preserve"> Act, enacted Oct</w:t>
      </w:r>
      <w:r w:rsidR="00A07199">
        <w:t xml:space="preserve">ober </w:t>
      </w:r>
      <w:r w:rsidRPr="006E1400">
        <w:t xml:space="preserve">6, 2014, directs the Secretary of Health and Human Services to “specify quality measures on which </w:t>
      </w:r>
      <w:r w:rsidRPr="00C521EC">
        <w:t xml:space="preserve">Post-Acute Care (PAC) </w:t>
      </w:r>
      <w:r>
        <w:t>provid</w:t>
      </w:r>
      <w:r w:rsidRPr="00C521EC">
        <w:t>ers are required under the applicable reporting provisions to</w:t>
      </w:r>
      <w:r w:rsidRPr="006E1400">
        <w:t xml:space="preserve"> submit standardized patient assessment data” in several domains, including incidence of major falls, skin integrity</w:t>
      </w:r>
      <w:r>
        <w:t>,</w:t>
      </w:r>
      <w:r w:rsidRPr="006E1400">
        <w:t xml:space="preserve"> and function.  The IMPACT Act</w:t>
      </w:r>
      <w:r>
        <w:t xml:space="preserve"> </w:t>
      </w:r>
      <w:r w:rsidRPr="006E1400">
        <w:t xml:space="preserve">requires the implementation of quality measures to address these measure </w:t>
      </w:r>
      <w:r>
        <w:t xml:space="preserve">domains </w:t>
      </w:r>
      <w:r w:rsidRPr="006E1400">
        <w:t>in</w:t>
      </w:r>
      <w:r>
        <w:t xml:space="preserve"> home health agencies (HHAs),</w:t>
      </w:r>
      <w:r w:rsidRPr="006E1400">
        <w:t xml:space="preserve"> skilled nursing facilities (SNFs), long-term care hospitals (LTCHs), and inpatient rehabilitation facilities (IRFs</w:t>
      </w:r>
      <w:r>
        <w:t>).</w:t>
      </w:r>
    </w:p>
    <w:p w14:paraId="510D062C" w14:textId="77777777" w:rsidR="008173C8" w:rsidRDefault="008173C8" w:rsidP="008173C8">
      <w:pPr>
        <w:pStyle w:val="BodyText"/>
      </w:pPr>
      <w:r>
        <w:t>The IMPACT Act also requires, to the extent possible, the submission of such quality measure data through the use of a PAC assessment instrument and the modification of such instrument as necessary to enable such use; for SNFs, this requirement refers to the Minimum Data Set (MDS) 3.0.</w:t>
      </w:r>
    </w:p>
    <w:p w14:paraId="7BB2B51A" w14:textId="77777777" w:rsidR="008173C8" w:rsidRDefault="008173C8" w:rsidP="008173C8">
      <w:pPr>
        <w:pStyle w:val="BodyText"/>
      </w:pPr>
      <w:r>
        <w:rPr>
          <w:snapToGrid w:val="0"/>
        </w:rPr>
        <w:t xml:space="preserve">For more information on </w:t>
      </w:r>
      <w:r>
        <w:t>the statutory history of the SNF QRP</w:t>
      </w:r>
      <w:r>
        <w:rPr>
          <w:snapToGrid w:val="0"/>
        </w:rPr>
        <w:t xml:space="preserve">, please refer to the </w:t>
      </w:r>
      <w:r>
        <w:t xml:space="preserve">FY 2015 SNF PPS final rule.  More information on the IMPACT Act is available at </w:t>
      </w:r>
      <w:hyperlink r:id="rId14" w:history="1">
        <w:r>
          <w:rPr>
            <w:rStyle w:val="Hyperlink"/>
            <w:szCs w:val="24"/>
          </w:rPr>
          <w:t>https://www.govtrack.us/congress/bills/113/hr4994</w:t>
        </w:r>
      </w:hyperlink>
      <w:r>
        <w:t>.</w:t>
      </w:r>
    </w:p>
    <w:p w14:paraId="11DA8E99" w14:textId="391AD360" w:rsidR="008173C8" w:rsidRDefault="008173C8" w:rsidP="003205F2">
      <w:pPr>
        <w:pStyle w:val="BodyText"/>
      </w:pPr>
      <w:r>
        <w:t xml:space="preserve">In this document, we present specifications for the following quality measure </w:t>
      </w:r>
      <w:r w:rsidR="003205F2">
        <w:t xml:space="preserve">proposed </w:t>
      </w:r>
      <w:r>
        <w:t>for the SNF QRP:</w:t>
      </w:r>
    </w:p>
    <w:p w14:paraId="089D49A5" w14:textId="67CAEC51" w:rsidR="008173C8" w:rsidRDefault="008173C8" w:rsidP="00A07199">
      <w:pPr>
        <w:pStyle w:val="BodyText"/>
        <w:ind w:left="1080" w:firstLine="0"/>
      </w:pPr>
      <w:r w:rsidRPr="00AB6A20">
        <w:t xml:space="preserve">Outcome Measure: </w:t>
      </w:r>
      <w:r w:rsidRPr="006E1400">
        <w:t xml:space="preserve">Percent of Residents or Patients with Pressure Ulcers </w:t>
      </w:r>
      <w:r w:rsidRPr="00822637">
        <w:rPr>
          <w:szCs w:val="24"/>
        </w:rPr>
        <w:t xml:space="preserve">That Are New or Worsened </w:t>
      </w:r>
      <w:r w:rsidRPr="006E1400">
        <w:t>(NQF #0678</w:t>
      </w:r>
      <w:r>
        <w:t>,</w:t>
      </w:r>
      <w:r w:rsidRPr="00AB6A20">
        <w:t xml:space="preserve"> Measure Steward: CMS)</w:t>
      </w:r>
      <w:r>
        <w:t>;</w:t>
      </w:r>
    </w:p>
    <w:p w14:paraId="341FA600" w14:textId="526BA057" w:rsidR="00C521EC" w:rsidRPr="00AB6A20" w:rsidRDefault="00C521EC" w:rsidP="00C42C98">
      <w:pPr>
        <w:pStyle w:val="BodyText"/>
        <w:numPr>
          <w:ilvl w:val="0"/>
          <w:numId w:val="8"/>
        </w:numPr>
        <w:ind w:left="1080"/>
        <w:rPr>
          <w:szCs w:val="24"/>
        </w:rPr>
      </w:pPr>
      <w:r w:rsidRPr="00AB6A20">
        <w:rPr>
          <w:szCs w:val="24"/>
        </w:rPr>
        <w:br w:type="page"/>
      </w:r>
    </w:p>
    <w:p w14:paraId="0F2C8810" w14:textId="77777777" w:rsidR="004F490F" w:rsidRPr="004F490F" w:rsidRDefault="004F490F" w:rsidP="004F490F">
      <w:pPr>
        <w:jc w:val="center"/>
        <w:rPr>
          <w:i/>
          <w:iCs/>
        </w:rPr>
      </w:pPr>
      <w:r w:rsidRPr="004F490F">
        <w:rPr>
          <w:i/>
          <w:iCs/>
        </w:rPr>
        <w:lastRenderedPageBreak/>
        <w:t>[This page intentionally left blank.]</w:t>
      </w:r>
    </w:p>
    <w:p w14:paraId="3A6C7C58" w14:textId="77777777" w:rsidR="004F490F" w:rsidRPr="004F490F" w:rsidRDefault="004F490F" w:rsidP="004F490F"/>
    <w:p w14:paraId="6EEB0E16" w14:textId="37C99213" w:rsidR="004F490F" w:rsidRPr="004F490F" w:rsidRDefault="004F490F" w:rsidP="004F490F">
      <w:pPr>
        <w:tabs>
          <w:tab w:val="left" w:pos="5405"/>
        </w:tabs>
        <w:sectPr w:rsidR="004F490F" w:rsidRPr="004F490F" w:rsidSect="001D303B">
          <w:headerReference w:type="default" r:id="rId15"/>
          <w:footerReference w:type="default" r:id="rId16"/>
          <w:pgSz w:w="12240" w:h="15840" w:code="1"/>
          <w:pgMar w:top="1440" w:right="1440" w:bottom="1440" w:left="1440" w:header="720" w:footer="720" w:gutter="0"/>
          <w:pgNumType w:start="1"/>
          <w:cols w:space="720"/>
        </w:sectPr>
      </w:pPr>
    </w:p>
    <w:p w14:paraId="4D6B60CF" w14:textId="4BC08F27" w:rsidR="00902DD8" w:rsidRPr="006E1400" w:rsidRDefault="00902DD8" w:rsidP="00F02C4B">
      <w:pPr>
        <w:pStyle w:val="Heading2"/>
      </w:pPr>
      <w:bookmarkStart w:id="7" w:name="_Toc454378154"/>
      <w:bookmarkEnd w:id="0"/>
      <w:bookmarkEnd w:id="1"/>
      <w:bookmarkEnd w:id="2"/>
      <w:r w:rsidRPr="004F490F">
        <w:lastRenderedPageBreak/>
        <w:t xml:space="preserve">Section </w:t>
      </w:r>
      <w:r>
        <w:t>2</w:t>
      </w:r>
      <w:r w:rsidRPr="004F490F">
        <w:rPr>
          <w:rFonts w:ascii="Times New Roman" w:hAnsi="Times New Roman"/>
          <w:b w:val="0"/>
          <w:caps w:val="0"/>
        </w:rPr>
        <w:br/>
      </w:r>
      <w:r w:rsidR="00A07199">
        <w:t xml:space="preserve"> </w:t>
      </w:r>
      <w:r w:rsidR="00A07199" w:rsidRPr="006E1400">
        <w:t xml:space="preserve">Cross-Setting Pressure Ulcer Measure: </w:t>
      </w:r>
      <w:r w:rsidR="00A07199">
        <w:t xml:space="preserve">                                               </w:t>
      </w:r>
      <w:r w:rsidR="00A07199" w:rsidRPr="006E1400">
        <w:t xml:space="preserve">Percent of Residents or Patients with Pressure Ulcers </w:t>
      </w:r>
      <w:r w:rsidR="00A07199">
        <w:t xml:space="preserve">That Are </w:t>
      </w:r>
      <w:r w:rsidR="00A07199" w:rsidRPr="006E1400">
        <w:t>New or Worsened (NQF #0678)</w:t>
      </w:r>
      <w:bookmarkEnd w:id="7"/>
    </w:p>
    <w:p w14:paraId="213A5121" w14:textId="2D475411" w:rsidR="00902DD8" w:rsidRPr="006E1400" w:rsidRDefault="00902DD8" w:rsidP="00902DD8">
      <w:pPr>
        <w:pStyle w:val="Heading4"/>
      </w:pPr>
      <w:bookmarkStart w:id="8" w:name="_Toc454378155"/>
      <w:r>
        <w:t>2.</w:t>
      </w:r>
      <w:r w:rsidR="00A07199">
        <w:t>1</w:t>
      </w:r>
      <w:r>
        <w:tab/>
      </w:r>
      <w:r w:rsidRPr="006E1400">
        <w:t xml:space="preserve">Quality Measure </w:t>
      </w:r>
      <w:r w:rsidRPr="00C521EC">
        <w:t>Description</w:t>
      </w:r>
      <w:bookmarkEnd w:id="8"/>
    </w:p>
    <w:p w14:paraId="55471409" w14:textId="7DD7BC00" w:rsidR="00902DD8" w:rsidRPr="006E1400" w:rsidRDefault="00902DD8" w:rsidP="00DD559E">
      <w:pPr>
        <w:pStyle w:val="BodyText"/>
      </w:pPr>
      <w:r w:rsidRPr="006E1400">
        <w:t xml:space="preserve">This </w:t>
      </w:r>
      <w:r>
        <w:t xml:space="preserve">quality </w:t>
      </w:r>
      <w:r w:rsidRPr="006E1400">
        <w:t>measure reports the percent of patients</w:t>
      </w:r>
      <w:r w:rsidR="00247B0E">
        <w:t>/</w:t>
      </w:r>
      <w:r w:rsidRPr="006E1400">
        <w:t xml:space="preserve"> residents with Stage 2-4 pressure ulcers that are new or worsened since admission. The measure is calculated using data from the</w:t>
      </w:r>
      <w:r>
        <w:t xml:space="preserve"> </w:t>
      </w:r>
      <w:r w:rsidRPr="006E1400">
        <w:t xml:space="preserve">MDS </w:t>
      </w:r>
      <w:r>
        <w:t xml:space="preserve">3.0 </w:t>
      </w:r>
      <w:r w:rsidRPr="006E1400">
        <w:t>assessment</w:t>
      </w:r>
      <w:r>
        <w:t xml:space="preserve"> instrument</w:t>
      </w:r>
      <w:r w:rsidRPr="006E1400">
        <w:t xml:space="preserve"> </w:t>
      </w:r>
      <w:r>
        <w:t xml:space="preserve">for SNF </w:t>
      </w:r>
      <w:r w:rsidRPr="006E1400">
        <w:t>residents, the LTCH</w:t>
      </w:r>
      <w:r>
        <w:t xml:space="preserve"> </w:t>
      </w:r>
      <w:r w:rsidRPr="006E1400">
        <w:t>CARE Data Set for LTCH patients, and the IRF-PAI</w:t>
      </w:r>
      <w:r>
        <w:t xml:space="preserve"> </w:t>
      </w:r>
      <w:r w:rsidRPr="006E1400">
        <w:t>for IRF patients. Data are collected separately in each of the three settings using standardized items that have been harmonized across the MDS</w:t>
      </w:r>
      <w:r>
        <w:t xml:space="preserve"> 3.0</w:t>
      </w:r>
      <w:r w:rsidRPr="006E1400">
        <w:t xml:space="preserve">, LTCH CARE Data Set, and IRF-PAI. For residents in a </w:t>
      </w:r>
      <w:r>
        <w:t>SNF</w:t>
      </w:r>
      <w:r w:rsidR="00247B0E">
        <w:t>,</w:t>
      </w:r>
      <w:r w:rsidRPr="006E1400">
        <w:t xml:space="preserve"> the measure is calculated by examining all assessments during a</w:t>
      </w:r>
      <w:r w:rsidR="00DD559E">
        <w:t xml:space="preserve"> resident</w:t>
      </w:r>
      <w:r w:rsidR="00A20752">
        <w:t>’s</w:t>
      </w:r>
      <w:r w:rsidR="00DD559E">
        <w:t xml:space="preserve"> Medicare Part A stay</w:t>
      </w:r>
      <w:r w:rsidRPr="006E1400">
        <w:t xml:space="preserve"> for reports of Stage 2-4 pressure ulcers that were not present or were at a lesser stage since admission. For patients in LTCHs and IRFs, this measure reports the percent of patient</w:t>
      </w:r>
      <w:r w:rsidR="007D6F51">
        <w:t xml:space="preserve"> stay</w:t>
      </w:r>
      <w:r w:rsidRPr="006E1400">
        <w:t>s with reports of Stage 2-4 pressure ulcers that were not present or were at a lesser stage on admission.</w:t>
      </w:r>
    </w:p>
    <w:p w14:paraId="22D88E30" w14:textId="58543593" w:rsidR="00902DD8" w:rsidRPr="006E1400" w:rsidRDefault="00902DD8" w:rsidP="00902DD8">
      <w:pPr>
        <w:pStyle w:val="BodyText"/>
      </w:pPr>
      <w:r>
        <w:t>Of note, d</w:t>
      </w:r>
      <w:r w:rsidRPr="006E1400">
        <w:t xml:space="preserve">ata collection and measure calculation for this measure </w:t>
      </w:r>
      <w:r w:rsidR="00A20752">
        <w:t>are</w:t>
      </w:r>
      <w:r w:rsidRPr="006E1400">
        <w:t xml:space="preserve"> conducted separately for each of the three provider settings and will not be combined across settings.  </w:t>
      </w:r>
    </w:p>
    <w:p w14:paraId="68D39702" w14:textId="34772546" w:rsidR="00902DD8" w:rsidRPr="006E1400" w:rsidRDefault="00902DD8" w:rsidP="00DD559E">
      <w:pPr>
        <w:pStyle w:val="BodyText"/>
      </w:pPr>
      <w:r w:rsidRPr="006E1400">
        <w:t xml:space="preserve">For </w:t>
      </w:r>
      <w:r>
        <w:t>SNF</w:t>
      </w:r>
      <w:r w:rsidRPr="006E1400">
        <w:t xml:space="preserve"> residents, this measure is restricted </w:t>
      </w:r>
      <w:r w:rsidR="003D21BA">
        <w:t xml:space="preserve">to </w:t>
      </w:r>
      <w:r w:rsidR="00DD559E">
        <w:t>Medicare Part A residents</w:t>
      </w:r>
      <w:r w:rsidRPr="006E1400">
        <w:t>. In IRFs, thi</w:t>
      </w:r>
      <w:r w:rsidRPr="00C521EC">
        <w:t>s</w:t>
      </w:r>
      <w:r w:rsidRPr="006E1400">
        <w:t xml:space="preserve"> measure is </w:t>
      </w:r>
      <w:r w:rsidR="00247B0E">
        <w:t>limited</w:t>
      </w:r>
      <w:r w:rsidR="00247B0E" w:rsidRPr="006E1400">
        <w:t xml:space="preserve"> </w:t>
      </w:r>
      <w:r w:rsidRPr="006E1400">
        <w:t xml:space="preserve">to </w:t>
      </w:r>
      <w:r w:rsidRPr="006E1400">
        <w:rPr>
          <w:color w:val="000000" w:themeColor="text1"/>
        </w:rPr>
        <w:t xml:space="preserve">Medicare </w:t>
      </w:r>
      <w:r w:rsidRPr="006E1400">
        <w:rPr>
          <w:color w:val="000000" w:themeColor="text1"/>
          <w:szCs w:val="24"/>
        </w:rPr>
        <w:t>(Part A and Part C)</w:t>
      </w:r>
      <w:r w:rsidRPr="006E1400">
        <w:rPr>
          <w:color w:val="000000" w:themeColor="text1"/>
        </w:rPr>
        <w:t xml:space="preserve"> patients.</w:t>
      </w:r>
      <w:r w:rsidRPr="006E1400">
        <w:t xml:space="preserve"> In LTCHs, this measure includes all patients.</w:t>
      </w:r>
    </w:p>
    <w:p w14:paraId="1855242F" w14:textId="3540A7A1" w:rsidR="00902DD8" w:rsidRPr="006E1400" w:rsidRDefault="00902DD8" w:rsidP="00902DD8">
      <w:pPr>
        <w:pStyle w:val="Heading4"/>
      </w:pPr>
      <w:bookmarkStart w:id="9" w:name="_Toc454378156"/>
      <w:r>
        <w:t>2.2</w:t>
      </w:r>
      <w:r>
        <w:tab/>
      </w:r>
      <w:r w:rsidRPr="006E1400">
        <w:t>Purpose/</w:t>
      </w:r>
      <w:r w:rsidRPr="00902DD8">
        <w:t>Rationale</w:t>
      </w:r>
      <w:r w:rsidRPr="006E1400">
        <w:t xml:space="preserve"> for Quality Measure</w:t>
      </w:r>
      <w:bookmarkEnd w:id="9"/>
    </w:p>
    <w:p w14:paraId="1559ED9A" w14:textId="37A84EFC" w:rsidR="00902DD8" w:rsidRPr="006E1400" w:rsidRDefault="00902DD8" w:rsidP="00902DD8">
      <w:pPr>
        <w:pStyle w:val="BodyText"/>
        <w:spacing w:line="270" w:lineRule="exact"/>
      </w:pPr>
      <w:r w:rsidRPr="006E1400">
        <w:t xml:space="preserve">This </w:t>
      </w:r>
      <w:r>
        <w:t xml:space="preserve">quality </w:t>
      </w:r>
      <w:r w:rsidRPr="006E1400">
        <w:t xml:space="preserve">measure is </w:t>
      </w:r>
      <w:r w:rsidR="00373521">
        <w:t>adopted</w:t>
      </w:r>
      <w:r>
        <w:t xml:space="preserve"> </w:t>
      </w:r>
      <w:r w:rsidRPr="006E1400">
        <w:t>as a cross-setting quality measure to meet the requirements of the IMPACT Act</w:t>
      </w:r>
      <w:r>
        <w:t xml:space="preserve"> of 2014 </w:t>
      </w:r>
      <w:r w:rsidRPr="006E1400">
        <w:t>addressing the domain of skin integrity and changes in skin integrity. Data reporting for this measure would affect the payment determination for the FY 2018 and subsequent years for the</w:t>
      </w:r>
      <w:r>
        <w:t xml:space="preserve"> </w:t>
      </w:r>
      <w:r w:rsidRPr="006E1400">
        <w:t>SNF, LTCH</w:t>
      </w:r>
      <w:r>
        <w:t>,</w:t>
      </w:r>
      <w:r w:rsidRPr="006E1400">
        <w:t xml:space="preserve"> and IRF. This measure has previously been successfully </w:t>
      </w:r>
      <w:r w:rsidR="00373521">
        <w:t>implemented</w:t>
      </w:r>
      <w:r w:rsidR="00373521" w:rsidRPr="006E1400">
        <w:t xml:space="preserve"> </w:t>
      </w:r>
      <w:r w:rsidRPr="006E1400">
        <w:t xml:space="preserve">in </w:t>
      </w:r>
      <w:r>
        <w:t>SNF/NHs</w:t>
      </w:r>
      <w:r w:rsidRPr="006E1400">
        <w:t xml:space="preserve">, LTCHs and IRFs. It has been implemented in the CMS Nursing Home Quality Initiative using the MDS since 2011, and is currently publicly reported on CMS’ Nursing Home Compare at:  </w:t>
      </w:r>
      <w:hyperlink r:id="rId17" w:history="1">
        <w:r w:rsidRPr="006E1400">
          <w:rPr>
            <w:rStyle w:val="Hyperlink"/>
          </w:rPr>
          <w:t>http://www.medicare.gov/nursinghomecompare/search.html</w:t>
        </w:r>
      </w:hyperlink>
      <w:r w:rsidRPr="006E1400">
        <w:t xml:space="preserve">. </w:t>
      </w:r>
      <w:r>
        <w:t xml:space="preserve"> In addition, t</w:t>
      </w:r>
      <w:r w:rsidRPr="006E1400">
        <w:t xml:space="preserve">he measure was adopted for the LTCH </w:t>
      </w:r>
      <w:r>
        <w:t>QRP</w:t>
      </w:r>
      <w:r w:rsidRPr="006E1400">
        <w:t xml:space="preserve"> in the FY 2012 IPPS/LTCH PPS final rule (76 FR 51753 through 51756) for the FY 2014 and subsequent years</w:t>
      </w:r>
      <w:r>
        <w:t xml:space="preserve"> </w:t>
      </w:r>
      <w:r w:rsidRPr="006E1400">
        <w:t xml:space="preserve">payment determination, and for IRF </w:t>
      </w:r>
      <w:r>
        <w:t>QRP</w:t>
      </w:r>
      <w:r w:rsidRPr="006E1400">
        <w:t xml:space="preserve"> in the FY 2012 IRF PPS final rule (76 FR 47876 through 47878) for the FY 2014 and subsequent years</w:t>
      </w:r>
      <w:r w:rsidRPr="006A5EE4">
        <w:t xml:space="preserve"> </w:t>
      </w:r>
      <w:r w:rsidRPr="006E1400">
        <w:t xml:space="preserve">payment determination. The </w:t>
      </w:r>
      <w:r>
        <w:t xml:space="preserve">data for this measure have been collected and </w:t>
      </w:r>
      <w:r w:rsidRPr="006E1400">
        <w:t>submitted by LTCHs and IRFs (using the LTCH CARE Data Set and IRF-PAI</w:t>
      </w:r>
      <w:r>
        <w:t>,</w:t>
      </w:r>
      <w:r w:rsidRPr="006E1400">
        <w:t xml:space="preserve"> respectively) since October </w:t>
      </w:r>
      <w:r>
        <w:t xml:space="preserve">1, </w:t>
      </w:r>
      <w:r w:rsidRPr="006E1400">
        <w:t xml:space="preserve">2012.  </w:t>
      </w:r>
    </w:p>
    <w:p w14:paraId="35FCEE35" w14:textId="66E84D95" w:rsidR="00902DD8" w:rsidRPr="006E1400" w:rsidRDefault="00902DD8" w:rsidP="00902DD8">
      <w:pPr>
        <w:pStyle w:val="BodyText"/>
        <w:spacing w:line="270" w:lineRule="exact"/>
      </w:pPr>
      <w:r w:rsidRPr="006E1400">
        <w:t>This measure is inten</w:t>
      </w:r>
      <w:r w:rsidRPr="00C521EC">
        <w:t>d</w:t>
      </w:r>
      <w:r w:rsidRPr="006E1400">
        <w:t xml:space="preserve">ed to encourage </w:t>
      </w:r>
      <w:r>
        <w:t>SNF</w:t>
      </w:r>
      <w:r w:rsidR="00821D42">
        <w:t>s</w:t>
      </w:r>
      <w:r w:rsidRPr="006E1400">
        <w:t xml:space="preserve">, LTCHs, and IRFs to prevent pressure ulcer development or worsening, and to closely monitor and appropriately treat existing pressure ulcers. </w:t>
      </w:r>
    </w:p>
    <w:p w14:paraId="434B491C" w14:textId="77777777" w:rsidR="00902DD8" w:rsidRPr="00A81B5E" w:rsidRDefault="00902DD8" w:rsidP="00902DD8">
      <w:pPr>
        <w:pStyle w:val="BodyText"/>
        <w:spacing w:line="270" w:lineRule="exact"/>
      </w:pPr>
      <w:r w:rsidRPr="006E1400">
        <w:t xml:space="preserve">Pressure ulcers are recognized as a serious medical condition. Considerable evidence exists regarding the seriousness of pressure ulcers, and the relationship between pressure ulcers </w:t>
      </w:r>
      <w:r w:rsidRPr="00A81B5E">
        <w:lastRenderedPageBreak/>
        <w:t>and pain, decreased quality of life, and increased mortality in aging populations.</w:t>
      </w:r>
      <w:r w:rsidRPr="00A81B5E">
        <w:rPr>
          <w:rStyle w:val="FootnoteReference"/>
          <w:color w:val="auto"/>
        </w:rPr>
        <w:footnoteReference w:id="1"/>
      </w:r>
      <w:r w:rsidRPr="00A81B5E">
        <w:rPr>
          <w:rStyle w:val="FootnoteReference"/>
          <w:color w:val="auto"/>
        </w:rPr>
        <w:t>,</w:t>
      </w:r>
      <w:r w:rsidRPr="00A81B5E">
        <w:rPr>
          <w:rStyle w:val="FootnoteReference"/>
          <w:color w:val="auto"/>
        </w:rPr>
        <w:footnoteReference w:id="2"/>
      </w:r>
      <w:r w:rsidRPr="00A81B5E">
        <w:rPr>
          <w:rStyle w:val="FootnoteReference"/>
          <w:color w:val="auto"/>
        </w:rPr>
        <w:t>,</w:t>
      </w:r>
      <w:r w:rsidRPr="00A81B5E">
        <w:rPr>
          <w:rStyle w:val="FootnoteReference"/>
          <w:color w:val="auto"/>
        </w:rPr>
        <w:footnoteReference w:id="3"/>
      </w:r>
      <w:r w:rsidRPr="00A81B5E">
        <w:rPr>
          <w:rStyle w:val="FootnoteReference"/>
          <w:color w:val="auto"/>
        </w:rPr>
        <w:t>,</w:t>
      </w:r>
      <w:r w:rsidRPr="00A81B5E">
        <w:rPr>
          <w:rStyle w:val="FootnoteReference"/>
          <w:color w:val="auto"/>
        </w:rPr>
        <w:footnoteReference w:id="4"/>
      </w:r>
      <w:r w:rsidRPr="00A81B5E">
        <w:rPr>
          <w:rStyle w:val="FootnoteReference"/>
          <w:color w:val="auto"/>
        </w:rPr>
        <w:t xml:space="preserve"> </w:t>
      </w:r>
      <w:r w:rsidRPr="00A81B5E">
        <w:t xml:space="preserve"> Pressure ulcers interfere with activities of daily living and functional gains made during rehabilitation, predispose patients to osteomyelitis and septicemia, and are strongly associated with longer hospital stays, longer IRF stays, and mortality.</w:t>
      </w:r>
      <w:r w:rsidRPr="00A81B5E">
        <w:rPr>
          <w:rStyle w:val="FootnoteReference"/>
          <w:color w:val="auto"/>
        </w:rPr>
        <w:footnoteReference w:id="5"/>
      </w:r>
      <w:r w:rsidRPr="00A81B5E">
        <w:rPr>
          <w:rStyle w:val="FootnoteReference"/>
          <w:color w:val="auto"/>
        </w:rPr>
        <w:t>,</w:t>
      </w:r>
      <w:r w:rsidRPr="00A81B5E">
        <w:rPr>
          <w:rStyle w:val="FootnoteReference"/>
          <w:color w:val="auto"/>
        </w:rPr>
        <w:footnoteReference w:id="6"/>
      </w:r>
      <w:r w:rsidRPr="00A81B5E">
        <w:rPr>
          <w:rStyle w:val="FootnoteReference"/>
          <w:color w:val="auto"/>
        </w:rPr>
        <w:t>,</w:t>
      </w:r>
      <w:r w:rsidRPr="00A81B5E">
        <w:rPr>
          <w:rStyle w:val="FootnoteReference"/>
          <w:color w:val="auto"/>
        </w:rPr>
        <w:footnoteReference w:id="7"/>
      </w:r>
      <w:r w:rsidRPr="00A81B5E">
        <w:t xml:space="preserve"> Additionally, patients with acute care hospitalizations related to pressure ulcers are more likely to be discharged to long-term care facilities (e.g., a nursing facility, an intermediate care facility, or a nursing home) than hospitalizations for all other conditions.</w:t>
      </w:r>
      <w:r w:rsidRPr="00A81B5E">
        <w:rPr>
          <w:rStyle w:val="FootnoteReference"/>
          <w:color w:val="auto"/>
        </w:rPr>
        <w:footnoteReference w:id="8"/>
      </w:r>
      <w:r w:rsidRPr="00A81B5E">
        <w:rPr>
          <w:rStyle w:val="FootnoteReference"/>
          <w:color w:val="auto"/>
        </w:rPr>
        <w:t>,</w:t>
      </w:r>
      <w:r w:rsidRPr="00A81B5E">
        <w:rPr>
          <w:rStyle w:val="FootnoteReference"/>
          <w:color w:val="auto"/>
        </w:rPr>
        <w:footnoteReference w:id="9"/>
      </w:r>
      <w:r w:rsidRPr="00A81B5E">
        <w:rPr>
          <w:rStyle w:val="FootnoteReference"/>
          <w:color w:val="auto"/>
        </w:rPr>
        <w:t xml:space="preserve"> </w:t>
      </w:r>
    </w:p>
    <w:p w14:paraId="0071EC25" w14:textId="7B2A4248" w:rsidR="001D19F6" w:rsidRPr="00F02C4B" w:rsidRDefault="001D19F6" w:rsidP="001D19F6">
      <w:pPr>
        <w:pStyle w:val="BodyText"/>
        <w:spacing w:line="270" w:lineRule="exact"/>
      </w:pPr>
      <w:r w:rsidRPr="00A81B5E">
        <w:t>Pressure ulcers typically result from prolonged periods of uninterrupted pressure on the ski</w:t>
      </w:r>
      <w:r>
        <w:t>n, soft tissue, muscle, or bone.</w:t>
      </w:r>
      <w:r>
        <w:rPr>
          <w:rStyle w:val="FootnoteReference"/>
          <w:color w:val="auto"/>
        </w:rPr>
        <w:t>17,</w:t>
      </w:r>
      <w:r w:rsidRPr="00EE08AC">
        <w:rPr>
          <w:rStyle w:val="FootnoteReference"/>
          <w:color w:val="auto"/>
        </w:rPr>
        <w:t>2</w:t>
      </w:r>
      <w:r>
        <w:rPr>
          <w:rStyle w:val="FootnoteReference"/>
          <w:color w:val="auto"/>
        </w:rPr>
        <w:t>1</w:t>
      </w:r>
      <w:r w:rsidRPr="00EE08AC">
        <w:rPr>
          <w:rStyle w:val="FootnoteReference"/>
          <w:color w:val="auto"/>
        </w:rPr>
        <w:t>,</w:t>
      </w:r>
      <w:r w:rsidRPr="00A81B5E">
        <w:rPr>
          <w:rStyle w:val="FootnoteReference"/>
          <w:color w:val="auto"/>
        </w:rPr>
        <w:footnoteReference w:id="10"/>
      </w:r>
      <w:r>
        <w:t xml:space="preserve"> </w:t>
      </w:r>
      <w:r w:rsidRPr="00A81B5E">
        <w:t>Elderly individuals in SNFs/NHs, LTCHs, and IRFs have a wide range of impairments or medical conditions that increase their risk of developing pressure ulcers, including but not limited to, impaired mobility or sensation, malnutrition or under</w:t>
      </w:r>
      <w:r>
        <w:t>-</w:t>
      </w:r>
      <w:r w:rsidRPr="00A81B5E">
        <w:t xml:space="preserve">nutrition, obesity, stroke,  diabetes, dementia, cognitive impairments, circulatory diseases, and dehydration. The use of wheelchairs and medical devices (e.g., hearing aid, feeding tubes, tracheostomies, </w:t>
      </w:r>
      <w:r w:rsidR="00373521">
        <w:t>p</w:t>
      </w:r>
      <w:r w:rsidR="00547E71">
        <w:t xml:space="preserve">ercutaneous </w:t>
      </w:r>
      <w:r w:rsidR="00373521">
        <w:t>e</w:t>
      </w:r>
      <w:r w:rsidR="00547E71">
        <w:t xml:space="preserve">ndoscopic </w:t>
      </w:r>
      <w:r w:rsidR="00373521">
        <w:t>g</w:t>
      </w:r>
      <w:r w:rsidR="00547E71" w:rsidRPr="00547E71">
        <w:t>astrostomy</w:t>
      </w:r>
      <w:r w:rsidR="00547E71">
        <w:rPr>
          <w:rStyle w:val="st"/>
          <w:rFonts w:ascii="Arial" w:hAnsi="Arial" w:cs="Arial"/>
          <w:color w:val="222222"/>
          <w:lang w:val="en"/>
        </w:rPr>
        <w:t xml:space="preserve"> </w:t>
      </w:r>
      <w:r w:rsidRPr="00A81B5E">
        <w:t xml:space="preserve">tubes), a history of pressure ulcers, or </w:t>
      </w:r>
      <w:r w:rsidRPr="00A81B5E">
        <w:lastRenderedPageBreak/>
        <w:t xml:space="preserve">presence of a pressure ulcer </w:t>
      </w:r>
      <w:r w:rsidRPr="006E1400">
        <w:t xml:space="preserve">at </w:t>
      </w:r>
      <w:r w:rsidRPr="00A81B5E">
        <w:t>admission are additional factors that increase pressure ulcer risk in elderly patients.</w:t>
      </w:r>
      <w:r w:rsidRPr="0030399D">
        <w:rPr>
          <w:rStyle w:val="FootnoteReference"/>
          <w:color w:val="auto"/>
        </w:rPr>
        <w:t>1</w:t>
      </w:r>
      <w:r>
        <w:rPr>
          <w:rStyle w:val="FootnoteReference"/>
          <w:color w:val="auto"/>
        </w:rPr>
        <w:t>3</w:t>
      </w:r>
      <w:r w:rsidRPr="0030399D">
        <w:rPr>
          <w:rStyle w:val="FootnoteReference"/>
          <w:color w:val="auto"/>
        </w:rPr>
        <w:t>,1</w:t>
      </w:r>
      <w:r>
        <w:rPr>
          <w:rStyle w:val="FootnoteReference"/>
          <w:color w:val="auto"/>
        </w:rPr>
        <w:t>7</w:t>
      </w:r>
      <w:r w:rsidRPr="0030399D">
        <w:rPr>
          <w:rStyle w:val="FootnoteReference"/>
          <w:color w:val="auto"/>
        </w:rPr>
        <w:t>,1</w:t>
      </w:r>
      <w:r>
        <w:rPr>
          <w:rStyle w:val="FootnoteReference"/>
          <w:color w:val="auto"/>
        </w:rPr>
        <w:t>8,20</w:t>
      </w:r>
      <w:r w:rsidRPr="00F02C4B">
        <w:rPr>
          <w:rStyle w:val="FootnoteReference"/>
          <w:color w:val="auto"/>
        </w:rPr>
        <w:t>,</w:t>
      </w:r>
      <w:r w:rsidRPr="00F02C4B">
        <w:rPr>
          <w:rStyle w:val="FootnoteReference"/>
          <w:color w:val="auto"/>
        </w:rPr>
        <w:footnoteReference w:id="11"/>
      </w:r>
      <w:r w:rsidRPr="00F02C4B">
        <w:rPr>
          <w:rStyle w:val="FootnoteReference"/>
          <w:color w:val="auto"/>
        </w:rPr>
        <w:t>,</w:t>
      </w:r>
      <w:r w:rsidRPr="00F02C4B">
        <w:rPr>
          <w:rStyle w:val="FootnoteReference"/>
          <w:color w:val="auto"/>
        </w:rPr>
        <w:footnoteReference w:id="12"/>
      </w:r>
      <w:r w:rsidRPr="00F02C4B">
        <w:rPr>
          <w:rStyle w:val="FootnoteReference"/>
          <w:color w:val="auto"/>
        </w:rPr>
        <w:t>,</w:t>
      </w:r>
      <w:r w:rsidRPr="00F02C4B">
        <w:rPr>
          <w:rStyle w:val="FootnoteReference"/>
          <w:color w:val="auto"/>
        </w:rPr>
        <w:footnoteReference w:id="13"/>
      </w:r>
      <w:r w:rsidRPr="00F02C4B">
        <w:rPr>
          <w:rStyle w:val="FootnoteReference"/>
          <w:color w:val="auto"/>
        </w:rPr>
        <w:t>,</w:t>
      </w:r>
      <w:r w:rsidRPr="00F02C4B">
        <w:rPr>
          <w:rStyle w:val="FootnoteReference"/>
          <w:color w:val="auto"/>
        </w:rPr>
        <w:footnoteReference w:id="14"/>
      </w:r>
      <w:r w:rsidRPr="00F02C4B">
        <w:rPr>
          <w:rStyle w:val="FootnoteReference"/>
          <w:color w:val="auto"/>
        </w:rPr>
        <w:t>,</w:t>
      </w:r>
      <w:r w:rsidRPr="00F02C4B">
        <w:rPr>
          <w:rStyle w:val="FootnoteReference"/>
          <w:color w:val="auto"/>
        </w:rPr>
        <w:footnoteReference w:id="15"/>
      </w:r>
      <w:r w:rsidRPr="00F02C4B">
        <w:rPr>
          <w:rStyle w:val="FootnoteReference"/>
          <w:color w:val="auto"/>
        </w:rPr>
        <w:t>,</w:t>
      </w:r>
      <w:r w:rsidRPr="00F02C4B">
        <w:rPr>
          <w:rStyle w:val="FootnoteReference"/>
          <w:color w:val="auto"/>
        </w:rPr>
        <w:footnoteReference w:id="16"/>
      </w:r>
      <w:r w:rsidRPr="00F02C4B">
        <w:rPr>
          <w:rStyle w:val="FootnoteReference"/>
          <w:color w:val="auto"/>
        </w:rPr>
        <w:t>,</w:t>
      </w:r>
      <w:r w:rsidRPr="00F02C4B">
        <w:rPr>
          <w:rStyle w:val="FootnoteReference"/>
          <w:color w:val="auto"/>
        </w:rPr>
        <w:footnoteReference w:id="17"/>
      </w:r>
      <w:r w:rsidRPr="00F02C4B">
        <w:rPr>
          <w:rStyle w:val="FootnoteReference"/>
          <w:color w:val="auto"/>
        </w:rPr>
        <w:t>,</w:t>
      </w:r>
      <w:r w:rsidR="004B3DC5" w:rsidRPr="00F02C4B">
        <w:rPr>
          <w:rStyle w:val="FootnoteReference"/>
          <w:color w:val="auto"/>
        </w:rPr>
        <w:footnoteReference w:id="18"/>
      </w:r>
    </w:p>
    <w:p w14:paraId="5B4FA304" w14:textId="6EBA9379" w:rsidR="00902DD8" w:rsidRPr="00A81B5E" w:rsidRDefault="00902DD8" w:rsidP="004B3DC5">
      <w:pPr>
        <w:pStyle w:val="BodyText"/>
        <w:spacing w:line="270" w:lineRule="exact"/>
      </w:pPr>
      <w:r w:rsidRPr="00A81B5E">
        <w:t>Pressure ulcers are high-cost adverse events across the spectrum of health care settings, from acute hospitals to home health.</w:t>
      </w:r>
      <w:r w:rsidRPr="0030399D">
        <w:rPr>
          <w:rStyle w:val="FootnoteReference"/>
          <w:color w:val="auto"/>
        </w:rPr>
        <w:t>1</w:t>
      </w:r>
      <w:r w:rsidR="004B3DC5">
        <w:rPr>
          <w:rStyle w:val="FootnoteReference"/>
          <w:color w:val="auto"/>
        </w:rPr>
        <w:t>7</w:t>
      </w:r>
      <w:r w:rsidRPr="0030399D">
        <w:rPr>
          <w:rStyle w:val="FootnoteReference"/>
          <w:color w:val="auto"/>
        </w:rPr>
        <w:t>,</w:t>
      </w:r>
      <w:r w:rsidR="004B3DC5">
        <w:rPr>
          <w:rStyle w:val="FootnoteReference"/>
          <w:color w:val="auto"/>
        </w:rPr>
        <w:t>2</w:t>
      </w:r>
      <w:r w:rsidR="004B3DC5" w:rsidRPr="004B3DC5">
        <w:rPr>
          <w:rStyle w:val="FootnoteReference"/>
          <w:color w:val="auto"/>
        </w:rPr>
        <w:t>0</w:t>
      </w:r>
      <w:r w:rsidRPr="0030399D">
        <w:rPr>
          <w:rStyle w:val="FootnoteReference"/>
          <w:color w:val="auto"/>
        </w:rPr>
        <w:t>,2</w:t>
      </w:r>
      <w:r w:rsidR="004B3DC5">
        <w:rPr>
          <w:rStyle w:val="FootnoteReference"/>
          <w:color w:val="auto"/>
        </w:rPr>
        <w:t>2</w:t>
      </w:r>
      <w:r w:rsidRPr="00A81B5E">
        <w:rPr>
          <w:rStyle w:val="FootnoteReference"/>
          <w:color w:val="auto"/>
        </w:rPr>
        <w:t xml:space="preserve"> </w:t>
      </w:r>
      <w:r w:rsidRPr="00A81B5E">
        <w:t>Pressure ulcer incidence rates vary considerably by clinical setting, ranging from 0.4% to 38% in acute care, 2.2% to 23.9% in SNFs and NHs, and 0% to 17% in home care.</w:t>
      </w:r>
      <w:r w:rsidR="004B3DC5" w:rsidRPr="004B3DC5">
        <w:rPr>
          <w:rStyle w:val="FootnoteReference"/>
          <w:color w:val="auto"/>
        </w:rPr>
        <w:t>2</w:t>
      </w:r>
      <w:r w:rsidR="00B51A8C">
        <w:rPr>
          <w:rStyle w:val="FootnoteReference"/>
          <w:color w:val="auto"/>
        </w:rPr>
        <w:t>3</w:t>
      </w:r>
      <w:r w:rsidRPr="00A81B5E">
        <w:rPr>
          <w:rStyle w:val="FootnoteReference"/>
          <w:color w:val="auto"/>
        </w:rPr>
        <w:t>,</w:t>
      </w:r>
      <w:r w:rsidRPr="0030399D">
        <w:rPr>
          <w:rStyle w:val="FootnoteReference"/>
          <w:color w:val="auto"/>
        </w:rPr>
        <w:t>2</w:t>
      </w:r>
      <w:r w:rsidR="004B3DC5">
        <w:rPr>
          <w:rStyle w:val="FootnoteReference"/>
          <w:color w:val="auto"/>
        </w:rPr>
        <w:t>1</w:t>
      </w:r>
      <w:r w:rsidRPr="0030399D">
        <w:rPr>
          <w:rStyle w:val="FootnoteReference"/>
          <w:color w:val="auto"/>
        </w:rPr>
        <w:t xml:space="preserve"> </w:t>
      </w:r>
      <w:r w:rsidRPr="00A81B5E">
        <w:t xml:space="preserve">No national survey of pressure ulcer incidence or prevalence has been conducted in LTCHs or IRFs. However, a study evaluating 2009 Medicare FFS claims data from post-acute care facilities found 15,995 secondary diagnosis claims of Stage 3 or 4 pressure ulcers in LTCHs 2,342 secondary diagnosis claims of Stage 3 or 4 pressure ulcers in IRFs; and 9,939 secondary diagnosis claims of Stage 3 or Stage 4 pressure ulcers </w:t>
      </w:r>
      <w:r>
        <w:t xml:space="preserve">in </w:t>
      </w:r>
      <w:r w:rsidRPr="00A81B5E">
        <w:t>SNFs.</w:t>
      </w:r>
      <w:r w:rsidR="004B3DC5" w:rsidRPr="00F02C4B">
        <w:rPr>
          <w:rStyle w:val="FootnoteReference"/>
          <w:color w:val="auto"/>
        </w:rPr>
        <w:footnoteReference w:id="19"/>
      </w:r>
      <w:r>
        <w:t xml:space="preserve"> </w:t>
      </w:r>
      <w:r w:rsidRPr="00A81B5E">
        <w:t xml:space="preserve">Additionally, analysis of LTCH CARE Data Set (for admissions and discharges between October 1, 2012 through March 31, 2014) and IRF-PAI data (for IRF-PAI assessments between October 1, 2012 through March 31, 2014) conducted by CMS’s measure development contractor, RTI International, suggests median risk-adjusted incidence of new or worsened pressure ulcers ranging from 1.88% to 2.01% and 0.73% to 1.02% per 12-month measure calculation period in </w:t>
      </w:r>
      <w:r>
        <w:t xml:space="preserve">LTCHs and </w:t>
      </w:r>
      <w:r w:rsidRPr="00A81B5E">
        <w:t>IRFs</w:t>
      </w:r>
      <w:r>
        <w:t>, respectively</w:t>
      </w:r>
      <w:r w:rsidRPr="00A81B5E">
        <w:t xml:space="preserve">. </w:t>
      </w:r>
    </w:p>
    <w:p w14:paraId="192DC6C5" w14:textId="58DA0A34" w:rsidR="00902DD8" w:rsidRPr="00A81B5E" w:rsidRDefault="00902DD8" w:rsidP="00902DD8">
      <w:pPr>
        <w:pStyle w:val="BodyText"/>
        <w:spacing w:line="270" w:lineRule="exact"/>
      </w:pPr>
      <w:r w:rsidRPr="00A81B5E">
        <w:t>As reported in the Federal Register, in 2006 the average cost for a hospital stay related</w:t>
      </w:r>
      <w:r>
        <w:t xml:space="preserve"> to pressure ulcers was $40,381</w:t>
      </w:r>
      <w:r w:rsidR="004B3DC5" w:rsidRPr="00F02C4B">
        <w:t>.</w:t>
      </w:r>
      <w:r w:rsidR="004B3DC5" w:rsidRPr="00F02C4B">
        <w:rPr>
          <w:rStyle w:val="FootnoteReference"/>
          <w:color w:val="auto"/>
        </w:rPr>
        <w:footnoteReference w:id="20"/>
      </w:r>
      <w:r w:rsidRPr="00F02C4B">
        <w:t xml:space="preserve"> </w:t>
      </w:r>
      <w:r w:rsidRPr="00A81B5E">
        <w:t>The Advancing Excellence in America’s Nursing Homes Campaign reported that it can cost as much as $19,000 to treat a single Stage 4 pressure ulcer.</w:t>
      </w:r>
      <w:r w:rsidR="004B3DC5" w:rsidRPr="00F02C4B">
        <w:rPr>
          <w:rStyle w:val="FootnoteReference"/>
          <w:color w:val="auto"/>
        </w:rPr>
        <w:footnoteReference w:id="21"/>
      </w:r>
      <w:r w:rsidRPr="00F02C4B">
        <w:t xml:space="preserve"> </w:t>
      </w:r>
      <w:r w:rsidRPr="00A81B5E">
        <w:t xml:space="preserve">Using data from 2009 and 2010, severe (Stage 3 and </w:t>
      </w:r>
      <w:r w:rsidR="007D6F51">
        <w:t xml:space="preserve">Stage </w:t>
      </w:r>
      <w:r w:rsidRPr="00A81B5E">
        <w:t xml:space="preserve">4) pressure ulcers acquired during a </w:t>
      </w:r>
      <w:r w:rsidRPr="00A81B5E">
        <w:lastRenderedPageBreak/>
        <w:t>hospital stay were estimated to have increased CMS payments across 90-day episodes of care by at least $18.8 million a year.</w:t>
      </w:r>
      <w:r w:rsidR="004B3DC5" w:rsidRPr="00F02C4B">
        <w:rPr>
          <w:rStyle w:val="FootnoteReference"/>
          <w:color w:val="auto"/>
        </w:rPr>
        <w:footnoteReference w:id="22"/>
      </w:r>
      <w:r w:rsidRPr="00F02C4B">
        <w:t xml:space="preserve"> </w:t>
      </w:r>
    </w:p>
    <w:p w14:paraId="0C2F1FC7" w14:textId="06282144" w:rsidR="00902DD8" w:rsidRPr="006E1400" w:rsidRDefault="00902DD8" w:rsidP="00902DD8">
      <w:pPr>
        <w:pStyle w:val="Heading4"/>
      </w:pPr>
      <w:bookmarkStart w:id="10" w:name="_Toc454378157"/>
      <w:r>
        <w:t>2.</w:t>
      </w:r>
      <w:r w:rsidR="00BD1428">
        <w:t>3</w:t>
      </w:r>
      <w:r>
        <w:tab/>
      </w:r>
      <w:r w:rsidRPr="006E1400">
        <w:t>Denominator</w:t>
      </w:r>
      <w:bookmarkEnd w:id="10"/>
    </w:p>
    <w:p w14:paraId="06E2CF37" w14:textId="77777777" w:rsidR="00902DD8" w:rsidRPr="006E1400" w:rsidRDefault="00902DD8" w:rsidP="00902DD8">
      <w:pPr>
        <w:pStyle w:val="BodyText"/>
        <w:rPr>
          <w:color w:val="000000" w:themeColor="text1"/>
        </w:rPr>
      </w:pPr>
      <w:r w:rsidRPr="006E1400">
        <w:t>Specific denominator definitions for each setting are provided below.</w:t>
      </w:r>
    </w:p>
    <w:p w14:paraId="1F095A7E" w14:textId="3AC2E879" w:rsidR="004A3B43" w:rsidRPr="004A3B43" w:rsidRDefault="008C7C5F" w:rsidP="0004101E">
      <w:pPr>
        <w:pStyle w:val="BodyText"/>
      </w:pPr>
      <w:r w:rsidRPr="00A81B5E">
        <w:rPr>
          <w:b/>
          <w:i/>
        </w:rPr>
        <w:t>SNF Denominator:</w:t>
      </w:r>
      <w:r w:rsidRPr="00A81B5E">
        <w:t xml:space="preserve"> The denominator is the number of </w:t>
      </w:r>
      <w:r w:rsidR="00EE723D">
        <w:t xml:space="preserve">complete </w:t>
      </w:r>
      <w:r w:rsidR="0004101E">
        <w:t xml:space="preserve">resident </w:t>
      </w:r>
      <w:r w:rsidR="004A3B43" w:rsidRPr="004A3B43">
        <w:t>Medicare Part A stays</w:t>
      </w:r>
      <w:r w:rsidR="0004101E">
        <w:t xml:space="preserve"> (defined as a 5-day PPS assessment and a discharge assessment, which may be a stand-alone Part A PPS discharge, or a Part A PPS discharge combined with an OBRA discharge)</w:t>
      </w:r>
      <w:r w:rsidR="004A3B43" w:rsidRPr="004A3B43">
        <w:t xml:space="preserve">  ending during the selected time window, except those who meet the exclusion criteria. </w:t>
      </w:r>
    </w:p>
    <w:p w14:paraId="5BC03325" w14:textId="77777777" w:rsidR="00902DD8" w:rsidRDefault="00902DD8" w:rsidP="00902DD8">
      <w:pPr>
        <w:pStyle w:val="BodyText"/>
        <w:rPr>
          <w:rFonts w:asciiTheme="majorBidi" w:hAnsiTheme="majorBidi" w:cstheme="majorBidi"/>
        </w:rPr>
      </w:pPr>
      <w:r w:rsidRPr="002B6DAD">
        <w:rPr>
          <w:b/>
          <w:i/>
          <w:color w:val="000000" w:themeColor="text1"/>
        </w:rPr>
        <w:t>LTCH Denominator</w:t>
      </w:r>
      <w:r w:rsidRPr="006E1400">
        <w:t xml:space="preserve">: </w:t>
      </w:r>
      <w:r w:rsidRPr="00227F74">
        <w:t xml:space="preserve"> </w:t>
      </w:r>
      <w:r>
        <w:t>The denominator is the</w:t>
      </w:r>
      <w:r w:rsidRPr="008B4020">
        <w:t xml:space="preserve"> number of </w:t>
      </w:r>
      <w:r>
        <w:t>patient stays</w:t>
      </w:r>
      <w:r w:rsidRPr="008B4020">
        <w:t xml:space="preserve"> with both an admission and discharge LTCH CARE Data Set assessment, </w:t>
      </w:r>
      <w:r>
        <w:t xml:space="preserve">except those who </w:t>
      </w:r>
      <w:r w:rsidRPr="008B4020">
        <w:t>meet the exclusion criteria.</w:t>
      </w:r>
      <w:r w:rsidRPr="00B558A0">
        <w:rPr>
          <w:rFonts w:asciiTheme="majorBidi" w:hAnsiTheme="majorBidi" w:cstheme="majorBidi"/>
        </w:rPr>
        <w:t xml:space="preserve"> </w:t>
      </w:r>
    </w:p>
    <w:p w14:paraId="777700E2" w14:textId="6EFC93D7" w:rsidR="00902DD8" w:rsidRPr="006E1400" w:rsidRDefault="00902DD8" w:rsidP="00902DD8">
      <w:pPr>
        <w:pStyle w:val="BodyText"/>
      </w:pPr>
      <w:r w:rsidRPr="006E1400">
        <w:rPr>
          <w:b/>
          <w:i/>
        </w:rPr>
        <w:t>IRF Denominator:</w:t>
      </w:r>
      <w:r w:rsidRPr="006E1400">
        <w:t xml:space="preserve"> The denominator is the number of Medicare* (Part A and Part C) </w:t>
      </w:r>
      <w:r w:rsidR="00373521" w:rsidRPr="006E1400">
        <w:t>patient</w:t>
      </w:r>
      <w:r w:rsidR="00373521">
        <w:t xml:space="preserve"> stays</w:t>
      </w:r>
      <w:r w:rsidR="00373521" w:rsidRPr="006E1400">
        <w:t xml:space="preserve"> </w:t>
      </w:r>
      <w:r w:rsidRPr="006E1400">
        <w:t>with an IRF-PAI assessment, except those who meet the exclusion criteria.</w:t>
      </w:r>
      <w:r w:rsidRPr="0011186C">
        <w:rPr>
          <w:rFonts w:asciiTheme="majorBidi" w:hAnsiTheme="majorBidi" w:cstheme="majorBidi"/>
        </w:rPr>
        <w:t xml:space="preserve"> </w:t>
      </w:r>
    </w:p>
    <w:p w14:paraId="2B69D444" w14:textId="77777777" w:rsidR="00902DD8" w:rsidRPr="006E1400" w:rsidRDefault="00902DD8" w:rsidP="00902DD8">
      <w:pPr>
        <w:pStyle w:val="BodyText"/>
        <w:ind w:firstLine="0"/>
        <w:rPr>
          <w:color w:val="000000" w:themeColor="text1"/>
          <w:szCs w:val="24"/>
        </w:rPr>
      </w:pPr>
      <w:r w:rsidRPr="006E1400">
        <w:rPr>
          <w:color w:val="000000" w:themeColor="text1"/>
          <w:szCs w:val="24"/>
        </w:rPr>
        <w:t>*IRF-PAI data are submitted for Medicare patients (Part A and Part C) only.</w:t>
      </w:r>
    </w:p>
    <w:p w14:paraId="1600F96A" w14:textId="77777777" w:rsidR="00902DD8" w:rsidRPr="00902DD8" w:rsidRDefault="00902DD8" w:rsidP="00902DD8">
      <w:pPr>
        <w:pStyle w:val="Heading5"/>
        <w:rPr>
          <w:b/>
          <w:bCs/>
          <w:i w:val="0"/>
          <w:iCs/>
        </w:rPr>
      </w:pPr>
      <w:bookmarkStart w:id="11" w:name="_Toc416789472"/>
      <w:bookmarkStart w:id="12" w:name="_Toc416789688"/>
      <w:bookmarkStart w:id="13" w:name="_Toc416956569"/>
      <w:bookmarkStart w:id="14" w:name="_Toc416967151"/>
      <w:r w:rsidRPr="00902DD8">
        <w:rPr>
          <w:b/>
          <w:bCs/>
          <w:i w:val="0"/>
          <w:iCs/>
        </w:rPr>
        <w:t>Denominator Exclusions</w:t>
      </w:r>
      <w:bookmarkEnd w:id="11"/>
      <w:bookmarkEnd w:id="12"/>
      <w:bookmarkEnd w:id="13"/>
      <w:bookmarkEnd w:id="14"/>
      <w:r w:rsidRPr="00902DD8">
        <w:rPr>
          <w:b/>
          <w:bCs/>
          <w:i w:val="0"/>
          <w:iCs/>
        </w:rPr>
        <w:t xml:space="preserve"> </w:t>
      </w:r>
    </w:p>
    <w:p w14:paraId="3E6D20A3" w14:textId="77777777" w:rsidR="00902DD8" w:rsidRPr="00BD1428" w:rsidRDefault="00902DD8" w:rsidP="00902DD8">
      <w:pPr>
        <w:pStyle w:val="BodyText"/>
        <w:rPr>
          <w:szCs w:val="24"/>
        </w:rPr>
      </w:pPr>
      <w:r w:rsidRPr="00BD1428">
        <w:rPr>
          <w:szCs w:val="24"/>
        </w:rPr>
        <w:t>Specific denominator exclusions for each setting are provided below.</w:t>
      </w:r>
    </w:p>
    <w:p w14:paraId="7B89F1D7" w14:textId="77777777" w:rsidR="00902DD8" w:rsidRDefault="00902DD8" w:rsidP="00AF5E72">
      <w:pPr>
        <w:pStyle w:val="Heading5"/>
        <w:ind w:firstLine="0"/>
        <w:rPr>
          <w:b/>
          <w:color w:val="000000" w:themeColor="text1"/>
        </w:rPr>
      </w:pPr>
      <w:bookmarkStart w:id="15" w:name="_Toc416789473"/>
      <w:bookmarkStart w:id="16" w:name="_Toc416789689"/>
      <w:bookmarkStart w:id="17" w:name="_Toc416956570"/>
      <w:bookmarkStart w:id="18" w:name="_Toc416967152"/>
      <w:r w:rsidRPr="00BD1428">
        <w:rPr>
          <w:b/>
          <w:color w:val="000000" w:themeColor="text1"/>
        </w:rPr>
        <w:t>SNF Denominator Exclusions:</w:t>
      </w:r>
      <w:bookmarkEnd w:id="15"/>
      <w:bookmarkEnd w:id="16"/>
      <w:bookmarkEnd w:id="17"/>
      <w:bookmarkEnd w:id="18"/>
    </w:p>
    <w:p w14:paraId="083036FB" w14:textId="03DD119F" w:rsidR="00193EF3" w:rsidRDefault="00193EF3" w:rsidP="00193EF3">
      <w:pPr>
        <w:numPr>
          <w:ilvl w:val="0"/>
          <w:numId w:val="9"/>
        </w:numPr>
      </w:pPr>
      <w:r>
        <w:t>Resident</w:t>
      </w:r>
      <w:r w:rsidRPr="00193EF3">
        <w:t xml:space="preserve"> stay is excluded if data on new or worsened Stage 2, 3, and 4 pressure ulcers are missing </w:t>
      </w:r>
      <w:r w:rsidR="00EE723D">
        <w:t>at</w:t>
      </w:r>
      <w:r w:rsidR="005A1583">
        <w:t xml:space="preserve"> dis</w:t>
      </w:r>
      <w:r w:rsidR="00EE723D">
        <w:t>charge</w:t>
      </w:r>
      <w:r w:rsidRPr="00193EF3">
        <w:t xml:space="preserve">; i.e., </w:t>
      </w:r>
      <w:r w:rsidR="0004101E">
        <w:t>(</w:t>
      </w:r>
      <w:r w:rsidRPr="00193EF3">
        <w:t>M0</w:t>
      </w:r>
      <w:r>
        <w:t>3</w:t>
      </w:r>
      <w:r w:rsidRPr="00193EF3">
        <w:t>00</w:t>
      </w:r>
      <w:r>
        <w:t>B1</w:t>
      </w:r>
      <w:r w:rsidRPr="00193EF3">
        <w:t xml:space="preserve"> = [-] </w:t>
      </w:r>
      <w:r>
        <w:t>or</w:t>
      </w:r>
      <w:r w:rsidRPr="00193EF3">
        <w:t xml:space="preserve"> M0</w:t>
      </w:r>
      <w:r>
        <w:t>3</w:t>
      </w:r>
      <w:r w:rsidRPr="00193EF3">
        <w:t>00B</w:t>
      </w:r>
      <w:r>
        <w:t>2</w:t>
      </w:r>
      <w:r w:rsidRPr="00193EF3">
        <w:t xml:space="preserve"> = [-]</w:t>
      </w:r>
      <w:r w:rsidR="0004101E">
        <w:t>)</w:t>
      </w:r>
      <w:r w:rsidRPr="00193EF3">
        <w:t xml:space="preserve"> and </w:t>
      </w:r>
      <w:r w:rsidR="0004101E">
        <w:t>(</w:t>
      </w:r>
      <w:r w:rsidRPr="00193EF3">
        <w:t>M0</w:t>
      </w:r>
      <w:r>
        <w:t>3</w:t>
      </w:r>
      <w:r w:rsidRPr="00193EF3">
        <w:t>00C</w:t>
      </w:r>
      <w:r>
        <w:t>1</w:t>
      </w:r>
      <w:r w:rsidRPr="00193EF3">
        <w:t xml:space="preserve"> = [-]</w:t>
      </w:r>
      <w:r>
        <w:t xml:space="preserve"> or M0300C2 = </w:t>
      </w:r>
      <w:r w:rsidRPr="00193EF3">
        <w:t>[-]</w:t>
      </w:r>
      <w:r w:rsidR="0004101E">
        <w:t>)</w:t>
      </w:r>
      <w:r>
        <w:t xml:space="preserve">  and </w:t>
      </w:r>
      <w:r w:rsidR="0004101E">
        <w:t>(</w:t>
      </w:r>
      <w:r w:rsidRPr="00836521">
        <w:t>M0300D1= [-] or (M0300D2= [-]</w:t>
      </w:r>
      <w:r w:rsidR="0004101E">
        <w:t>)</w:t>
      </w:r>
      <w:r>
        <w:t>.</w:t>
      </w:r>
      <w:r w:rsidRPr="00836521">
        <w:t xml:space="preserve"> </w:t>
      </w:r>
    </w:p>
    <w:p w14:paraId="119E40B3" w14:textId="77777777" w:rsidR="00193EF3" w:rsidRDefault="00193EF3" w:rsidP="00836521">
      <w:pPr>
        <w:ind w:left="720"/>
      </w:pPr>
    </w:p>
    <w:p w14:paraId="0FA716F2" w14:textId="783D259F" w:rsidR="00193EF3" w:rsidRPr="00836521" w:rsidRDefault="00193EF3" w:rsidP="00193EF3">
      <w:pPr>
        <w:numPr>
          <w:ilvl w:val="0"/>
          <w:numId w:val="9"/>
        </w:numPr>
      </w:pPr>
      <w:r>
        <w:t>Resident</w:t>
      </w:r>
      <w:r w:rsidRPr="00193EF3">
        <w:t xml:space="preserve"> stay is excluded if the </w:t>
      </w:r>
      <w:r>
        <w:t xml:space="preserve">resident </w:t>
      </w:r>
      <w:r w:rsidRPr="00193EF3">
        <w:t xml:space="preserve">died during the </w:t>
      </w:r>
      <w:r w:rsidR="00032950">
        <w:t>SNF</w:t>
      </w:r>
      <w:r w:rsidRPr="00193EF3">
        <w:t xml:space="preserve"> stay</w:t>
      </w:r>
      <w:r w:rsidR="00032950">
        <w:t xml:space="preserve">. </w:t>
      </w:r>
    </w:p>
    <w:p w14:paraId="1E986FD9" w14:textId="77777777" w:rsidR="00193EF3" w:rsidRPr="00836521" w:rsidRDefault="00193EF3" w:rsidP="00836521"/>
    <w:p w14:paraId="468BCD89" w14:textId="77777777" w:rsidR="00902DD8" w:rsidRPr="00BD1428" w:rsidRDefault="00902DD8" w:rsidP="00AF5E72">
      <w:pPr>
        <w:pStyle w:val="Heading5"/>
        <w:ind w:firstLine="0"/>
        <w:rPr>
          <w:b/>
          <w:color w:val="000000" w:themeColor="text1"/>
        </w:rPr>
      </w:pPr>
      <w:bookmarkStart w:id="19" w:name="_Toc416789474"/>
      <w:bookmarkStart w:id="20" w:name="_Toc416789690"/>
      <w:bookmarkStart w:id="21" w:name="_Toc416956571"/>
      <w:bookmarkStart w:id="22" w:name="_Toc416967153"/>
      <w:r w:rsidRPr="00BD1428">
        <w:rPr>
          <w:b/>
          <w:color w:val="000000" w:themeColor="text1"/>
        </w:rPr>
        <w:t>LTCH Denominator Exclusions:</w:t>
      </w:r>
      <w:bookmarkEnd w:id="19"/>
      <w:bookmarkEnd w:id="20"/>
      <w:bookmarkEnd w:id="21"/>
      <w:bookmarkEnd w:id="22"/>
      <w:r w:rsidRPr="00BD1428">
        <w:rPr>
          <w:b/>
          <w:color w:val="000000" w:themeColor="text1"/>
        </w:rPr>
        <w:t xml:space="preserve"> </w:t>
      </w:r>
    </w:p>
    <w:p w14:paraId="7C58E971" w14:textId="77777777" w:rsidR="00902DD8" w:rsidRDefault="00902DD8" w:rsidP="00836521">
      <w:pPr>
        <w:pStyle w:val="ListNumber"/>
        <w:numPr>
          <w:ilvl w:val="0"/>
          <w:numId w:val="27"/>
        </w:numPr>
      </w:pPr>
      <w:r w:rsidRPr="006E1400">
        <w:t xml:space="preserve">Patient stay is excluded if data on new or worsened Stage 2, 3, and 4 pressure ulcers are missing on the planned or unplanned discharge assessment; i.e., M0800A = [-] and M0800B = [-] and M0800C = [-]. </w:t>
      </w:r>
    </w:p>
    <w:p w14:paraId="7A008ABC" w14:textId="77777777" w:rsidR="00902DD8" w:rsidRPr="006E1400" w:rsidRDefault="00902DD8" w:rsidP="00902DD8">
      <w:pPr>
        <w:pStyle w:val="ListNumber"/>
      </w:pPr>
      <w:r w:rsidRPr="006E1400">
        <w:t>Patient stay is excluded if the patient died during the LTCH stay; i.e., A0250 = [12].</w:t>
      </w:r>
    </w:p>
    <w:p w14:paraId="01D743B7" w14:textId="77777777" w:rsidR="00902DD8" w:rsidRPr="006E1400" w:rsidRDefault="00902DD8" w:rsidP="00902DD8">
      <w:pPr>
        <w:pStyle w:val="ListNumber"/>
      </w:pPr>
      <w:r w:rsidRPr="006E1400">
        <w:t>Patient stay is excluded if there is no admission assessment available to derive data for risk adjustment (covariates).</w:t>
      </w:r>
    </w:p>
    <w:p w14:paraId="3A4D68DF" w14:textId="77777777" w:rsidR="00902DD8" w:rsidRPr="00AF5E72" w:rsidRDefault="00902DD8" w:rsidP="00AF5E72">
      <w:pPr>
        <w:pStyle w:val="Heading5"/>
        <w:ind w:firstLine="0"/>
        <w:rPr>
          <w:b/>
          <w:color w:val="000000" w:themeColor="text1"/>
          <w:szCs w:val="20"/>
        </w:rPr>
      </w:pPr>
      <w:bookmarkStart w:id="23" w:name="_Toc416789475"/>
      <w:bookmarkStart w:id="24" w:name="_Toc416789691"/>
      <w:bookmarkStart w:id="25" w:name="_Toc416956572"/>
      <w:bookmarkStart w:id="26" w:name="_Toc416967154"/>
      <w:r w:rsidRPr="00AF5E72">
        <w:rPr>
          <w:b/>
          <w:color w:val="000000" w:themeColor="text1"/>
          <w:szCs w:val="20"/>
        </w:rPr>
        <w:lastRenderedPageBreak/>
        <w:t>IRF Denominator Exclusions:</w:t>
      </w:r>
      <w:bookmarkEnd w:id="23"/>
      <w:bookmarkEnd w:id="24"/>
      <w:bookmarkEnd w:id="25"/>
      <w:bookmarkEnd w:id="26"/>
      <w:r w:rsidRPr="00AF5E72">
        <w:rPr>
          <w:b/>
          <w:color w:val="000000" w:themeColor="text1"/>
          <w:szCs w:val="20"/>
        </w:rPr>
        <w:t xml:space="preserve"> </w:t>
      </w:r>
    </w:p>
    <w:p w14:paraId="170BFBA2" w14:textId="77777777" w:rsidR="00C42C98" w:rsidRDefault="00902DD8" w:rsidP="00C42C98">
      <w:pPr>
        <w:pStyle w:val="ListNumber"/>
        <w:numPr>
          <w:ilvl w:val="0"/>
          <w:numId w:val="17"/>
        </w:numPr>
      </w:pPr>
      <w:r w:rsidRPr="006E1400">
        <w:t xml:space="preserve">Patient stay is excluded if data on new or worsened Stage 2, 3, and 4 pressure ulcers is missing at discharge; i.e., M0800A = [-] and M0800B = [-] and M0800C = [-]. </w:t>
      </w:r>
    </w:p>
    <w:p w14:paraId="15E1D2C8" w14:textId="555D89F2" w:rsidR="00902DD8" w:rsidRPr="006A5EE4" w:rsidRDefault="00902DD8" w:rsidP="00C42C98">
      <w:pPr>
        <w:pStyle w:val="ListNumber"/>
      </w:pPr>
      <w:r w:rsidRPr="006E1400">
        <w:t>Patient stay is excluded if the patient died during the IRF stay; i.e., Item 44C = [0].</w:t>
      </w:r>
    </w:p>
    <w:p w14:paraId="13600DAA" w14:textId="1A26D479" w:rsidR="00902DD8" w:rsidRPr="006E1400" w:rsidRDefault="00902DD8" w:rsidP="00902DD8">
      <w:pPr>
        <w:pStyle w:val="Heading4"/>
      </w:pPr>
      <w:bookmarkStart w:id="27" w:name="_Toc454378158"/>
      <w:r>
        <w:t>2.</w:t>
      </w:r>
      <w:r w:rsidR="004F2CB6">
        <w:t>4</w:t>
      </w:r>
      <w:r>
        <w:tab/>
      </w:r>
      <w:r w:rsidRPr="002B18D5">
        <w:t>Numerator</w:t>
      </w:r>
      <w:bookmarkEnd w:id="27"/>
    </w:p>
    <w:p w14:paraId="66F8DF6A" w14:textId="77777777" w:rsidR="00902DD8" w:rsidRDefault="00902DD8" w:rsidP="00902DD8">
      <w:pPr>
        <w:pStyle w:val="BodyText"/>
      </w:pPr>
      <w:r w:rsidRPr="006E1400">
        <w:t>Specific numer</w:t>
      </w:r>
      <w:r w:rsidRPr="00C521EC">
        <w:t>a</w:t>
      </w:r>
      <w:r w:rsidRPr="006E1400">
        <w:t xml:space="preserve">tor </w:t>
      </w:r>
      <w:r w:rsidRPr="00C521EC">
        <w:t>definitions</w:t>
      </w:r>
      <w:r w:rsidRPr="006E1400">
        <w:t xml:space="preserve"> for each setting are provided below.</w:t>
      </w:r>
    </w:p>
    <w:p w14:paraId="7B562246" w14:textId="773D0100" w:rsidR="004A3B43" w:rsidRPr="004A3B43" w:rsidRDefault="00902DD8" w:rsidP="0004101E">
      <w:pPr>
        <w:pStyle w:val="BodyText"/>
        <w:rPr>
          <w:szCs w:val="24"/>
        </w:rPr>
      </w:pPr>
      <w:r w:rsidRPr="005055D0">
        <w:rPr>
          <w:b/>
          <w:i/>
          <w:szCs w:val="24"/>
        </w:rPr>
        <w:t>SNF Numerator</w:t>
      </w:r>
      <w:r w:rsidRPr="005055D0">
        <w:rPr>
          <w:szCs w:val="24"/>
        </w:rPr>
        <w:t xml:space="preserve">: </w:t>
      </w:r>
      <w:r w:rsidR="00210732" w:rsidRPr="005055D0">
        <w:rPr>
          <w:szCs w:val="24"/>
        </w:rPr>
        <w:t xml:space="preserve">The numerator is the number of </w:t>
      </w:r>
      <w:r w:rsidR="00EE723D">
        <w:rPr>
          <w:szCs w:val="24"/>
        </w:rPr>
        <w:t xml:space="preserve">complete </w:t>
      </w:r>
      <w:r w:rsidR="0004101E">
        <w:rPr>
          <w:szCs w:val="24"/>
        </w:rPr>
        <w:t xml:space="preserve">resident </w:t>
      </w:r>
      <w:r w:rsidR="004A3B43" w:rsidRPr="004A3B43">
        <w:rPr>
          <w:szCs w:val="24"/>
        </w:rPr>
        <w:t xml:space="preserve">Medicare Part A stays </w:t>
      </w:r>
      <w:r w:rsidR="0004101E">
        <w:t xml:space="preserve">(defined as a 5-day PPS assessment and a discharge assessment, which may be a stand-alone Part A PPS discharge, or a Part A PPS discharge combined with an OBRA discharge) </w:t>
      </w:r>
      <w:r w:rsidR="004A3B43" w:rsidRPr="004A3B43">
        <w:rPr>
          <w:szCs w:val="24"/>
        </w:rPr>
        <w:t xml:space="preserve">that end during the selected time window with one or more new or worsened Stage 2-4 pressure ulcers at the end of the stay. This is determined by the following conditions on the target assessment (which may be a stand-alone Part A PPS </w:t>
      </w:r>
      <w:r w:rsidR="0004101E">
        <w:rPr>
          <w:szCs w:val="24"/>
        </w:rPr>
        <w:t>d</w:t>
      </w:r>
      <w:r w:rsidR="004A3B43" w:rsidRPr="004A3B43">
        <w:rPr>
          <w:szCs w:val="24"/>
        </w:rPr>
        <w:t xml:space="preserve">ischarge, or Part A PPS </w:t>
      </w:r>
      <w:r w:rsidR="0004101E">
        <w:rPr>
          <w:szCs w:val="24"/>
        </w:rPr>
        <w:t>d</w:t>
      </w:r>
      <w:r w:rsidR="004A3B43" w:rsidRPr="004A3B43">
        <w:rPr>
          <w:szCs w:val="24"/>
        </w:rPr>
        <w:t xml:space="preserve">ischarge </w:t>
      </w:r>
      <w:bookmarkStart w:id="28" w:name="_GoBack"/>
      <w:bookmarkEnd w:id="28"/>
      <w:r w:rsidR="004A3B43" w:rsidRPr="004A3B43">
        <w:rPr>
          <w:szCs w:val="24"/>
        </w:rPr>
        <w:t xml:space="preserve">combined with an OBRA </w:t>
      </w:r>
      <w:r w:rsidR="0004101E">
        <w:rPr>
          <w:szCs w:val="24"/>
        </w:rPr>
        <w:t>d</w:t>
      </w:r>
      <w:r w:rsidR="004A3B43" w:rsidRPr="004A3B43">
        <w:rPr>
          <w:szCs w:val="24"/>
        </w:rPr>
        <w:t>ischarge assessment).</w:t>
      </w:r>
    </w:p>
    <w:p w14:paraId="326DD7DC" w14:textId="77777777" w:rsidR="004A3B43" w:rsidRPr="004A3B43" w:rsidRDefault="004A3B43" w:rsidP="004A3B43">
      <w:pPr>
        <w:pStyle w:val="BodyText"/>
        <w:numPr>
          <w:ilvl w:val="1"/>
          <w:numId w:val="22"/>
        </w:numPr>
        <w:rPr>
          <w:szCs w:val="24"/>
        </w:rPr>
      </w:pPr>
      <w:r w:rsidRPr="004A3B43">
        <w:rPr>
          <w:szCs w:val="24"/>
        </w:rPr>
        <w:t xml:space="preserve">Stage 2 (M0300B1) </w:t>
      </w:r>
      <w:r w:rsidRPr="004A3B43">
        <w:rPr>
          <w:b/>
          <w:bCs/>
          <w:szCs w:val="24"/>
        </w:rPr>
        <w:t xml:space="preserve">- </w:t>
      </w:r>
      <w:r w:rsidRPr="004A3B43">
        <w:rPr>
          <w:bCs/>
          <w:szCs w:val="24"/>
        </w:rPr>
        <w:t>(</w:t>
      </w:r>
      <w:r w:rsidRPr="004A3B43">
        <w:rPr>
          <w:szCs w:val="24"/>
        </w:rPr>
        <w:t xml:space="preserve">M0300B2) &gt; 0, OR  </w:t>
      </w:r>
    </w:p>
    <w:p w14:paraId="3AFED349" w14:textId="77777777" w:rsidR="004A3B43" w:rsidRPr="004A3B43" w:rsidRDefault="004A3B43" w:rsidP="004A3B43">
      <w:pPr>
        <w:pStyle w:val="BodyText"/>
        <w:numPr>
          <w:ilvl w:val="1"/>
          <w:numId w:val="22"/>
        </w:numPr>
        <w:rPr>
          <w:szCs w:val="24"/>
        </w:rPr>
      </w:pPr>
      <w:r w:rsidRPr="004A3B43">
        <w:rPr>
          <w:szCs w:val="24"/>
        </w:rPr>
        <w:t xml:space="preserve">Stage 3 (M0300C1) </w:t>
      </w:r>
      <w:r w:rsidRPr="004A3B43">
        <w:rPr>
          <w:b/>
          <w:bCs/>
          <w:szCs w:val="24"/>
        </w:rPr>
        <w:t xml:space="preserve">- </w:t>
      </w:r>
      <w:r w:rsidRPr="004A3B43">
        <w:rPr>
          <w:bCs/>
          <w:szCs w:val="24"/>
        </w:rPr>
        <w:t>(</w:t>
      </w:r>
      <w:r w:rsidRPr="004A3B43">
        <w:rPr>
          <w:szCs w:val="24"/>
        </w:rPr>
        <w:t xml:space="preserve">M0300C2) &gt; 0, OR </w:t>
      </w:r>
    </w:p>
    <w:p w14:paraId="5CFC727B" w14:textId="77777777" w:rsidR="004A3B43" w:rsidRPr="004A3B43" w:rsidRDefault="004A3B43" w:rsidP="004A3B43">
      <w:pPr>
        <w:pStyle w:val="BodyText"/>
        <w:numPr>
          <w:ilvl w:val="1"/>
          <w:numId w:val="22"/>
        </w:numPr>
        <w:rPr>
          <w:szCs w:val="24"/>
        </w:rPr>
      </w:pPr>
      <w:r w:rsidRPr="004A3B43">
        <w:rPr>
          <w:szCs w:val="24"/>
        </w:rPr>
        <w:t xml:space="preserve">Stage 4 (M0300D1) </w:t>
      </w:r>
      <w:r w:rsidRPr="004A3B43">
        <w:rPr>
          <w:b/>
          <w:bCs/>
          <w:szCs w:val="24"/>
        </w:rPr>
        <w:t xml:space="preserve">- </w:t>
      </w:r>
      <w:r w:rsidRPr="004A3B43">
        <w:rPr>
          <w:bCs/>
          <w:szCs w:val="24"/>
        </w:rPr>
        <w:t>(</w:t>
      </w:r>
      <w:r w:rsidRPr="004A3B43">
        <w:rPr>
          <w:szCs w:val="24"/>
        </w:rPr>
        <w:t>M0300D2) &gt; 0</w:t>
      </w:r>
    </w:p>
    <w:p w14:paraId="28969675" w14:textId="77777777" w:rsidR="00902DD8" w:rsidRPr="006E1400" w:rsidRDefault="00902DD8" w:rsidP="00902DD8">
      <w:pPr>
        <w:pStyle w:val="BodyText"/>
      </w:pPr>
      <w:r w:rsidRPr="005055D0">
        <w:rPr>
          <w:b/>
          <w:i/>
          <w:szCs w:val="24"/>
        </w:rPr>
        <w:t>LTCH Numerator:</w:t>
      </w:r>
      <w:r w:rsidRPr="005055D0">
        <w:rPr>
          <w:szCs w:val="24"/>
        </w:rPr>
        <w:t xml:space="preserve"> The numerator is the number of stays for which the discharge assessment indicates one or more new or worsened Stage 2-4 pressure</w:t>
      </w:r>
      <w:r>
        <w:t xml:space="preserve"> ulcers compared to the admission assessment.</w:t>
      </w:r>
    </w:p>
    <w:p w14:paraId="3416D687" w14:textId="2187C640" w:rsidR="00902DD8" w:rsidRPr="006E1400" w:rsidRDefault="00902DD8" w:rsidP="00902DD8">
      <w:pPr>
        <w:pStyle w:val="List"/>
      </w:pPr>
      <w:r w:rsidRPr="006E1400">
        <w:t xml:space="preserve">1) </w:t>
      </w:r>
      <w:r>
        <w:tab/>
      </w:r>
      <w:r w:rsidRPr="006E1400">
        <w:t xml:space="preserve">Stage 2 (M0800A) &gt; 0, OR  </w:t>
      </w:r>
    </w:p>
    <w:p w14:paraId="6B30D294" w14:textId="70CD37D3" w:rsidR="00902DD8" w:rsidRPr="006E1400" w:rsidRDefault="00902DD8" w:rsidP="00902DD8">
      <w:pPr>
        <w:pStyle w:val="List"/>
      </w:pPr>
      <w:r w:rsidRPr="006E1400">
        <w:t xml:space="preserve">2) </w:t>
      </w:r>
      <w:r>
        <w:tab/>
      </w:r>
      <w:r w:rsidRPr="006E1400">
        <w:t xml:space="preserve">Stage 3 (M0800B) &gt; 0, OR </w:t>
      </w:r>
    </w:p>
    <w:p w14:paraId="4B0B7A4A" w14:textId="0BE38ACC" w:rsidR="00902DD8" w:rsidRPr="006E1400" w:rsidRDefault="00902DD8" w:rsidP="00902DD8">
      <w:pPr>
        <w:pStyle w:val="List"/>
      </w:pPr>
      <w:r w:rsidRPr="006E1400">
        <w:t xml:space="preserve">3) </w:t>
      </w:r>
      <w:r>
        <w:tab/>
      </w:r>
      <w:r w:rsidRPr="006E1400">
        <w:t>Stage 4 (M0800C) &gt; 0</w:t>
      </w:r>
    </w:p>
    <w:p w14:paraId="125F52E9" w14:textId="77777777" w:rsidR="00902DD8" w:rsidRPr="006E1400" w:rsidRDefault="00902DD8" w:rsidP="00902DD8">
      <w:pPr>
        <w:pStyle w:val="BodyText"/>
      </w:pPr>
      <w:r w:rsidRPr="006E1400">
        <w:rPr>
          <w:b/>
          <w:i/>
        </w:rPr>
        <w:t>IRF Numerator:</w:t>
      </w:r>
      <w:r w:rsidRPr="006E1400">
        <w:t xml:space="preserve"> The numerator is the number</w:t>
      </w:r>
      <w:r>
        <w:t xml:space="preserve"> of stays for which the IRF-PAI indicates </w:t>
      </w:r>
      <w:r w:rsidRPr="006E1400">
        <w:t>one or more Stage 2-4 pressure ulcer(s) that are new or worsened at discharge compared to admission.</w:t>
      </w:r>
    </w:p>
    <w:p w14:paraId="6DFC68F1" w14:textId="33507260" w:rsidR="00902DD8" w:rsidRPr="006E1400" w:rsidRDefault="00902DD8" w:rsidP="00902DD8">
      <w:pPr>
        <w:pStyle w:val="List"/>
      </w:pPr>
      <w:r w:rsidRPr="006E1400">
        <w:t xml:space="preserve">1) </w:t>
      </w:r>
      <w:r>
        <w:tab/>
      </w:r>
      <w:r w:rsidRPr="006E1400">
        <w:t xml:space="preserve">Stage 2 (M0800A) &gt; 0, OR  </w:t>
      </w:r>
    </w:p>
    <w:p w14:paraId="0752DD84" w14:textId="3040A48B" w:rsidR="00902DD8" w:rsidRPr="006E1400" w:rsidRDefault="00902DD8" w:rsidP="00902DD8">
      <w:pPr>
        <w:pStyle w:val="List"/>
      </w:pPr>
      <w:r w:rsidRPr="006E1400">
        <w:t xml:space="preserve">2) </w:t>
      </w:r>
      <w:r>
        <w:tab/>
      </w:r>
      <w:r w:rsidRPr="006E1400">
        <w:t xml:space="preserve">Stage 3 (M0800B) &gt; 0, OR </w:t>
      </w:r>
    </w:p>
    <w:p w14:paraId="174ACE4F" w14:textId="6B3B8EBA" w:rsidR="00902DD8" w:rsidRPr="006E1400" w:rsidRDefault="00902DD8" w:rsidP="00902DD8">
      <w:pPr>
        <w:pStyle w:val="List"/>
      </w:pPr>
      <w:r w:rsidRPr="006E1400">
        <w:t xml:space="preserve">3) </w:t>
      </w:r>
      <w:r>
        <w:tab/>
      </w:r>
      <w:r w:rsidRPr="006E1400">
        <w:t>Stage 4 (M0800C) &gt; 0</w:t>
      </w:r>
      <w:r>
        <w:t>.</w:t>
      </w:r>
    </w:p>
    <w:p w14:paraId="2BD973F5" w14:textId="5F77ABF1" w:rsidR="00902DD8" w:rsidRPr="006E1400" w:rsidRDefault="00902DD8" w:rsidP="00902DD8">
      <w:pPr>
        <w:pStyle w:val="Heading4"/>
      </w:pPr>
      <w:bookmarkStart w:id="29" w:name="_Toc454378159"/>
      <w:r>
        <w:t>2.</w:t>
      </w:r>
      <w:r w:rsidR="00B80C04">
        <w:t>5</w:t>
      </w:r>
      <w:r>
        <w:tab/>
      </w:r>
      <w:r w:rsidRPr="006E1400">
        <w:t xml:space="preserve">Measure Time </w:t>
      </w:r>
      <w:r w:rsidRPr="002B18D5">
        <w:t>Window</w:t>
      </w:r>
      <w:bookmarkEnd w:id="29"/>
      <w:r w:rsidRPr="006E1400">
        <w:t xml:space="preserve"> </w:t>
      </w:r>
    </w:p>
    <w:p w14:paraId="50424DE0" w14:textId="77777777" w:rsidR="00902DD8" w:rsidRPr="006E1400" w:rsidRDefault="00902DD8" w:rsidP="00902DD8">
      <w:pPr>
        <w:pStyle w:val="BodyText"/>
      </w:pPr>
      <w:r w:rsidRPr="006E1400">
        <w:t>Time windows vary across setting due to considerable variation in facility sizes across the three settings. Specific measure time window descriptions for each setting are provided below.</w:t>
      </w:r>
    </w:p>
    <w:p w14:paraId="1AB27C58" w14:textId="396F6D8A" w:rsidR="00902DD8" w:rsidRPr="006E1400" w:rsidRDefault="00902DD8" w:rsidP="00E63120">
      <w:pPr>
        <w:pStyle w:val="BodyText"/>
      </w:pPr>
      <w:r>
        <w:rPr>
          <w:b/>
          <w:i/>
        </w:rPr>
        <w:lastRenderedPageBreak/>
        <w:t>SNF</w:t>
      </w:r>
      <w:r w:rsidRPr="006E1400">
        <w:rPr>
          <w:b/>
          <w:i/>
        </w:rPr>
        <w:t xml:space="preserve"> Time Window:</w:t>
      </w:r>
      <w:r w:rsidRPr="006E1400">
        <w:t xml:space="preserve"> </w:t>
      </w:r>
      <w:r w:rsidR="00E63120" w:rsidRPr="006E1400">
        <w:t>The measure will be calculated</w:t>
      </w:r>
      <w:r w:rsidR="00E63120">
        <w:t xml:space="preserve"> quarterly</w:t>
      </w:r>
      <w:r w:rsidR="00E63120" w:rsidRPr="006E1400">
        <w:t xml:space="preserve"> using </w:t>
      </w:r>
      <w:r w:rsidR="00E63120">
        <w:t xml:space="preserve">a </w:t>
      </w:r>
      <w:r w:rsidR="00E63120" w:rsidRPr="006E1400">
        <w:t xml:space="preserve">rolling 12 months of data. </w:t>
      </w:r>
      <w:r w:rsidR="00E63120">
        <w:t xml:space="preserve">For public reporting, the quality measure score reported for each quarter is calculated using a rolling 12 months of data inclusive of the reporting quarter and the 3 quarters prior. </w:t>
      </w:r>
      <w:r w:rsidR="00E63120" w:rsidRPr="006E1400">
        <w:t xml:space="preserve">All </w:t>
      </w:r>
      <w:r w:rsidR="0094064B">
        <w:t>SNF</w:t>
      </w:r>
      <w:r w:rsidR="00E63120" w:rsidRPr="006E1400">
        <w:t xml:space="preserve"> stays, except those that meet the exclusion criteria, during the 12 months are included in the denominator and are eligible for inclusion in the numerator. For </w:t>
      </w:r>
      <w:r w:rsidR="0094064B">
        <w:t>residents</w:t>
      </w:r>
      <w:r w:rsidR="00E63120" w:rsidRPr="006E1400">
        <w:t xml:space="preserve"> with multiple stays during the 12-month time window, each stay is eligible for inclusion in the measure.</w:t>
      </w:r>
      <w:r w:rsidRPr="006E1400">
        <w:t xml:space="preserve"> </w:t>
      </w:r>
    </w:p>
    <w:p w14:paraId="4C58FA02" w14:textId="77777777" w:rsidR="00902DD8" w:rsidRDefault="00902DD8" w:rsidP="00902DD8">
      <w:pPr>
        <w:pStyle w:val="BodyText"/>
      </w:pPr>
      <w:r w:rsidRPr="006E1400">
        <w:rPr>
          <w:b/>
          <w:i/>
        </w:rPr>
        <w:t>LTCH Time Window:</w:t>
      </w:r>
      <w:r w:rsidRPr="006E1400">
        <w:t xml:space="preserve"> The measure will be calculated</w:t>
      </w:r>
      <w:r>
        <w:t xml:space="preserve"> quarterly</w:t>
      </w:r>
      <w:r w:rsidRPr="006E1400">
        <w:t xml:space="preserve"> using </w:t>
      </w:r>
      <w:r>
        <w:t xml:space="preserve">a </w:t>
      </w:r>
      <w:r w:rsidRPr="006E1400">
        <w:t xml:space="preserve">rolling 12 months of data. </w:t>
      </w:r>
      <w:r>
        <w:t xml:space="preserve">For public reporting, the quality measure score reported for each quarter is calculated using a rolling 12 months of data inclusive of the reporting quarter and the 3 quarters prior. </w:t>
      </w:r>
      <w:r w:rsidRPr="006E1400">
        <w:t>All LTCH stays, except those that meet the exclusion criteria, during the 12 months are included in the denominator and are eligible for inclusion in the numerator. For patients with multiple stays during the 12-month time window, each stay is eligible for inclusion in the measure.</w:t>
      </w:r>
    </w:p>
    <w:p w14:paraId="0D4609F8" w14:textId="66DF5F4B" w:rsidR="00902DD8" w:rsidRPr="006E1400" w:rsidRDefault="00902DD8" w:rsidP="00902DD8">
      <w:pPr>
        <w:pStyle w:val="BodyText"/>
      </w:pPr>
      <w:r w:rsidRPr="006E1400">
        <w:rPr>
          <w:b/>
          <w:i/>
        </w:rPr>
        <w:t>IRF Time Window:</w:t>
      </w:r>
      <w:r w:rsidRPr="006E1400">
        <w:t xml:space="preserve"> The measure will be calculated</w:t>
      </w:r>
      <w:r>
        <w:t xml:space="preserve"> quarterly</w:t>
      </w:r>
      <w:r w:rsidRPr="006E1400">
        <w:t xml:space="preserve"> using rolling 12 months of data. All IRF records, except those that meet the exclusion criteria, during the 12 months will be included in the denominator and are eligible for inclusion in the numerator. For patients with multiple records during the 12-month time window, each record is eligible for inclusion in the measure.</w:t>
      </w:r>
    </w:p>
    <w:p w14:paraId="52F9256A" w14:textId="755ACAF6" w:rsidR="00902DD8" w:rsidRPr="006E1400" w:rsidRDefault="00902DD8" w:rsidP="00902DD8">
      <w:pPr>
        <w:pStyle w:val="Heading4"/>
      </w:pPr>
      <w:bookmarkStart w:id="30" w:name="_Toc454378160"/>
      <w:r>
        <w:t>2.</w:t>
      </w:r>
      <w:r w:rsidR="00020DF6">
        <w:t>6</w:t>
      </w:r>
      <w:r>
        <w:tab/>
      </w:r>
      <w:r w:rsidRPr="006E1400">
        <w:t>Risk Adjustment Covariates</w:t>
      </w:r>
      <w:bookmarkEnd w:id="30"/>
    </w:p>
    <w:p w14:paraId="3B1D47CC" w14:textId="77777777" w:rsidR="00902DD8" w:rsidRPr="00624855" w:rsidRDefault="00902DD8" w:rsidP="00902DD8">
      <w:pPr>
        <w:pStyle w:val="BodyText"/>
        <w:rPr>
          <w:szCs w:val="24"/>
        </w:rPr>
      </w:pPr>
      <w:r w:rsidRPr="00624855">
        <w:rPr>
          <w:szCs w:val="24"/>
        </w:rPr>
        <w:t xml:space="preserve">Specific covariate definitions for each setting are provided below. </w:t>
      </w:r>
    </w:p>
    <w:p w14:paraId="6D583359" w14:textId="0081EB73" w:rsidR="00902DD8" w:rsidRPr="00624855" w:rsidRDefault="00902DD8" w:rsidP="00AF5E72">
      <w:pPr>
        <w:pStyle w:val="Heading5"/>
        <w:ind w:firstLine="0"/>
        <w:rPr>
          <w:b/>
          <w:bCs/>
          <w:i w:val="0"/>
          <w:iCs/>
        </w:rPr>
      </w:pPr>
      <w:bookmarkStart w:id="31" w:name="_Toc416789481"/>
      <w:bookmarkStart w:id="32" w:name="_Toc416789697"/>
      <w:bookmarkStart w:id="33" w:name="_Toc416956576"/>
      <w:bookmarkStart w:id="34" w:name="_Toc416967158"/>
      <w:r w:rsidRPr="00624855">
        <w:rPr>
          <w:b/>
          <w:color w:val="000000" w:themeColor="text1"/>
        </w:rPr>
        <w:t xml:space="preserve">SNF </w:t>
      </w:r>
      <w:r w:rsidR="00B04869" w:rsidRPr="00624855">
        <w:rPr>
          <w:b/>
          <w:color w:val="000000" w:themeColor="text1"/>
        </w:rPr>
        <w:t xml:space="preserve">Risk Adjustment </w:t>
      </w:r>
      <w:r w:rsidRPr="00624855">
        <w:rPr>
          <w:b/>
          <w:color w:val="000000" w:themeColor="text1"/>
        </w:rPr>
        <w:t>Covariates</w:t>
      </w:r>
      <w:bookmarkEnd w:id="31"/>
      <w:bookmarkEnd w:id="32"/>
      <w:bookmarkEnd w:id="33"/>
      <w:bookmarkEnd w:id="34"/>
    </w:p>
    <w:p w14:paraId="6BB6E028" w14:textId="1EBBE981" w:rsidR="00902DD8" w:rsidRPr="00624855" w:rsidRDefault="00902DD8" w:rsidP="00902DD8">
      <w:pPr>
        <w:pStyle w:val="BodyText"/>
        <w:rPr>
          <w:szCs w:val="24"/>
        </w:rPr>
      </w:pPr>
      <w:r w:rsidRPr="00624855">
        <w:rPr>
          <w:szCs w:val="24"/>
        </w:rPr>
        <w:t xml:space="preserve">For each resident covariate values are assigned, either ‘0’ for covariate condition not present or ‘1’ for covariate condition present, as reported on the </w:t>
      </w:r>
      <w:r w:rsidR="0012141A" w:rsidRPr="00624855">
        <w:rPr>
          <w:szCs w:val="24"/>
        </w:rPr>
        <w:t>PPS 5-Day assessment.</w:t>
      </w:r>
      <w:r w:rsidRPr="00624855">
        <w:rPr>
          <w:szCs w:val="24"/>
        </w:rPr>
        <w:t xml:space="preserve">. </w:t>
      </w:r>
    </w:p>
    <w:p w14:paraId="61C23E10" w14:textId="29F9B19D" w:rsidR="00902DD8" w:rsidRPr="00624855" w:rsidRDefault="00902DD8" w:rsidP="00C42C98">
      <w:pPr>
        <w:pStyle w:val="ListNumber"/>
        <w:numPr>
          <w:ilvl w:val="0"/>
          <w:numId w:val="10"/>
        </w:numPr>
        <w:rPr>
          <w:szCs w:val="24"/>
        </w:rPr>
      </w:pPr>
      <w:r w:rsidRPr="00624855">
        <w:rPr>
          <w:szCs w:val="24"/>
        </w:rPr>
        <w:t xml:space="preserve">Indicator of requiring limited or more assistance in bed mobility self-performance dependence on the </w:t>
      </w:r>
      <w:r w:rsidR="0012141A" w:rsidRPr="00624855">
        <w:rPr>
          <w:szCs w:val="24"/>
        </w:rPr>
        <w:t>PPS 5-Day assessment</w:t>
      </w:r>
      <w:r w:rsidRPr="00624855">
        <w:rPr>
          <w:szCs w:val="24"/>
        </w:rPr>
        <w:t>:</w:t>
      </w:r>
    </w:p>
    <w:p w14:paraId="73D3DC6D" w14:textId="77777777" w:rsidR="00902DD8" w:rsidRPr="00624855" w:rsidRDefault="00902DD8" w:rsidP="00902DD8">
      <w:pPr>
        <w:pStyle w:val="ListContinue"/>
        <w:ind w:left="1080"/>
        <w:rPr>
          <w:szCs w:val="24"/>
        </w:rPr>
      </w:pPr>
      <w:r w:rsidRPr="00624855">
        <w:rPr>
          <w:szCs w:val="24"/>
        </w:rPr>
        <w:t>Covariate = [1] (yes) if G0110A1 = [2, 3, 4, 7, 8] (2 – Limited assistance, 3 – Extensive assistance, 4 – Total dependence, 7 – activity occurred only once or twice, 8 – Activity did not occur)</w:t>
      </w:r>
    </w:p>
    <w:p w14:paraId="21BC4207" w14:textId="77777777" w:rsidR="00902DD8" w:rsidRPr="00624855" w:rsidRDefault="00902DD8" w:rsidP="00902DD8">
      <w:pPr>
        <w:pStyle w:val="ListContinue"/>
        <w:ind w:left="1080"/>
        <w:rPr>
          <w:szCs w:val="24"/>
        </w:rPr>
      </w:pPr>
      <w:r w:rsidRPr="00624855">
        <w:rPr>
          <w:szCs w:val="24"/>
        </w:rPr>
        <w:t>Covariate = [0] (no) if G0110A1 = [0, 1, -] (0 – Independent, 1 – Supervision, ‘-‘– no response)</w:t>
      </w:r>
    </w:p>
    <w:p w14:paraId="4E3DC6E8" w14:textId="6B1FA3E8" w:rsidR="00902DD8" w:rsidRPr="00624855" w:rsidRDefault="00902DD8" w:rsidP="00C42C98">
      <w:pPr>
        <w:pStyle w:val="ListNumber"/>
        <w:numPr>
          <w:ilvl w:val="0"/>
          <w:numId w:val="10"/>
        </w:numPr>
        <w:rPr>
          <w:szCs w:val="24"/>
        </w:rPr>
      </w:pPr>
      <w:r w:rsidRPr="00624855">
        <w:rPr>
          <w:szCs w:val="24"/>
        </w:rPr>
        <w:t xml:space="preserve">Indicator of bowel incontinence at least occasionally on the </w:t>
      </w:r>
      <w:r w:rsidR="0012141A" w:rsidRPr="00624855">
        <w:rPr>
          <w:szCs w:val="24"/>
        </w:rPr>
        <w:t>PPS 5-Day assessment</w:t>
      </w:r>
      <w:r w:rsidRPr="00624855">
        <w:rPr>
          <w:szCs w:val="24"/>
        </w:rPr>
        <w:t>:</w:t>
      </w:r>
    </w:p>
    <w:p w14:paraId="33048D3F" w14:textId="77777777" w:rsidR="00902DD8" w:rsidRPr="00624855" w:rsidRDefault="00902DD8" w:rsidP="00902DD8">
      <w:pPr>
        <w:pStyle w:val="ListContinue"/>
        <w:ind w:left="1080"/>
        <w:rPr>
          <w:szCs w:val="24"/>
        </w:rPr>
      </w:pPr>
      <w:r w:rsidRPr="00624855">
        <w:rPr>
          <w:szCs w:val="24"/>
        </w:rPr>
        <w:t>Covariate = [1] (yes) if H0400 = [1, 2, 3] (1 – Occasionally incontinent, 2 – Frequently incontinent, 3 – Always incontinent)</w:t>
      </w:r>
    </w:p>
    <w:p w14:paraId="50AB70FE" w14:textId="77777777" w:rsidR="00902DD8" w:rsidRPr="00624855" w:rsidRDefault="00902DD8" w:rsidP="00902DD8">
      <w:pPr>
        <w:pStyle w:val="ListContinue"/>
        <w:ind w:left="1080"/>
        <w:rPr>
          <w:szCs w:val="24"/>
        </w:rPr>
      </w:pPr>
      <w:r w:rsidRPr="00624855">
        <w:rPr>
          <w:szCs w:val="24"/>
        </w:rPr>
        <w:t>Covariate = [0] (no) if H0400 = [0, 9, - , ^] (0 – Always continent, 9 – Not rated, ‘-‘– No response available, ‘^’ – Valid skip)</w:t>
      </w:r>
    </w:p>
    <w:p w14:paraId="5C1AA892" w14:textId="37DFED3F" w:rsidR="00902DD8" w:rsidRPr="00624855" w:rsidRDefault="00902DD8" w:rsidP="00C42C98">
      <w:pPr>
        <w:pStyle w:val="ListNumber"/>
        <w:numPr>
          <w:ilvl w:val="0"/>
          <w:numId w:val="10"/>
        </w:numPr>
        <w:rPr>
          <w:szCs w:val="24"/>
        </w:rPr>
      </w:pPr>
      <w:r w:rsidRPr="00624855">
        <w:rPr>
          <w:szCs w:val="24"/>
        </w:rPr>
        <w:t xml:space="preserve">Have diabetes or peripheral vascular disease on </w:t>
      </w:r>
      <w:r w:rsidR="0012141A" w:rsidRPr="00624855">
        <w:rPr>
          <w:szCs w:val="24"/>
        </w:rPr>
        <w:t>PPS 5-Day assessment</w:t>
      </w:r>
      <w:r w:rsidRPr="00624855">
        <w:rPr>
          <w:szCs w:val="24"/>
        </w:rPr>
        <w:t>:</w:t>
      </w:r>
    </w:p>
    <w:p w14:paraId="05C1E340" w14:textId="77777777" w:rsidR="00902DD8" w:rsidRPr="00624855" w:rsidRDefault="00902DD8" w:rsidP="00902DD8">
      <w:pPr>
        <w:pStyle w:val="ListContinue"/>
        <w:ind w:left="1080"/>
        <w:rPr>
          <w:szCs w:val="24"/>
        </w:rPr>
      </w:pPr>
      <w:r w:rsidRPr="00624855">
        <w:rPr>
          <w:szCs w:val="24"/>
        </w:rPr>
        <w:lastRenderedPageBreak/>
        <w:t>Covariate = [1] (yes) if any of the following are true:</w:t>
      </w:r>
    </w:p>
    <w:p w14:paraId="7A37CB8A" w14:textId="77777777" w:rsidR="00902DD8" w:rsidRPr="00624855" w:rsidRDefault="00902DD8" w:rsidP="00C42C98">
      <w:pPr>
        <w:pStyle w:val="ListNumber2"/>
        <w:ind w:left="1440"/>
        <w:rPr>
          <w:szCs w:val="24"/>
        </w:rPr>
      </w:pPr>
      <w:r w:rsidRPr="00624855">
        <w:rPr>
          <w:szCs w:val="24"/>
        </w:rPr>
        <w:t>Active peripheral vascular disease (PVD) or peripheral arterial disease (PAD) in the last 7 days (I0900 = [1] (checked))</w:t>
      </w:r>
    </w:p>
    <w:p w14:paraId="49885D4D" w14:textId="77777777" w:rsidR="00902DD8" w:rsidRPr="00624855" w:rsidRDefault="00902DD8" w:rsidP="00C42C98">
      <w:pPr>
        <w:pStyle w:val="ListNumber2"/>
        <w:ind w:left="1440"/>
        <w:rPr>
          <w:szCs w:val="24"/>
        </w:rPr>
      </w:pPr>
      <w:r w:rsidRPr="00624855">
        <w:rPr>
          <w:szCs w:val="24"/>
        </w:rPr>
        <w:t>Active diabetes mellitus (DM) in the last 7 days (I2900 = [1] (checked))</w:t>
      </w:r>
    </w:p>
    <w:p w14:paraId="0F7029AB" w14:textId="77777777" w:rsidR="00902DD8" w:rsidRPr="00624855" w:rsidRDefault="00902DD8" w:rsidP="00902DD8">
      <w:pPr>
        <w:pStyle w:val="ListContinue"/>
        <w:ind w:left="1080"/>
        <w:rPr>
          <w:szCs w:val="24"/>
        </w:rPr>
      </w:pPr>
      <w:r w:rsidRPr="00624855">
        <w:rPr>
          <w:szCs w:val="24"/>
        </w:rPr>
        <w:t>Covariate = [0] (no) if I0900 = [0, - , ‘‘] AND I2900 = [0, -]</w:t>
      </w:r>
    </w:p>
    <w:p w14:paraId="5CFB3EAA" w14:textId="249D6E5E" w:rsidR="00902DD8" w:rsidRPr="00624855" w:rsidRDefault="00902DD8" w:rsidP="00C42C98">
      <w:pPr>
        <w:pStyle w:val="ListNumber"/>
        <w:numPr>
          <w:ilvl w:val="0"/>
          <w:numId w:val="10"/>
        </w:numPr>
        <w:rPr>
          <w:szCs w:val="24"/>
        </w:rPr>
      </w:pPr>
      <w:r w:rsidRPr="00624855">
        <w:rPr>
          <w:szCs w:val="24"/>
        </w:rPr>
        <w:t xml:space="preserve">Indicator of Low Body Mass Index (BMI), based on Height (K0200A) and Weight (K0200B) on the </w:t>
      </w:r>
      <w:r w:rsidR="0012141A" w:rsidRPr="00624855">
        <w:rPr>
          <w:szCs w:val="24"/>
        </w:rPr>
        <w:t>PPS 5-Day assessment</w:t>
      </w:r>
      <w:r w:rsidRPr="00624855">
        <w:rPr>
          <w:szCs w:val="24"/>
        </w:rPr>
        <w:t>:</w:t>
      </w:r>
    </w:p>
    <w:p w14:paraId="2D9FECC8" w14:textId="77777777" w:rsidR="00902DD8" w:rsidRPr="00624855" w:rsidRDefault="00902DD8" w:rsidP="00902DD8">
      <w:pPr>
        <w:pStyle w:val="ListContinue"/>
        <w:ind w:left="1080"/>
        <w:rPr>
          <w:szCs w:val="24"/>
        </w:rPr>
      </w:pPr>
      <w:r w:rsidRPr="00624855">
        <w:rPr>
          <w:szCs w:val="24"/>
        </w:rPr>
        <w:t>Covariate = [1] (yes) if BMI &gt;= [12.0] AND &lt;= [19.0]</w:t>
      </w:r>
    </w:p>
    <w:p w14:paraId="6B4B7325" w14:textId="77777777" w:rsidR="00902DD8" w:rsidRPr="00624855" w:rsidRDefault="00902DD8" w:rsidP="00902DD8">
      <w:pPr>
        <w:pStyle w:val="ListContinue"/>
        <w:ind w:left="1080"/>
        <w:rPr>
          <w:szCs w:val="24"/>
        </w:rPr>
      </w:pPr>
      <w:r w:rsidRPr="00624855">
        <w:rPr>
          <w:szCs w:val="24"/>
        </w:rPr>
        <w:t xml:space="preserve">Covariate = [0] (no) if BMI &gt; [19.0] </w:t>
      </w:r>
    </w:p>
    <w:p w14:paraId="488D3F03" w14:textId="77777777" w:rsidR="00902DD8" w:rsidRPr="00624855" w:rsidRDefault="00902DD8" w:rsidP="00902DD8">
      <w:pPr>
        <w:pStyle w:val="ListContinue"/>
        <w:ind w:left="1080"/>
        <w:rPr>
          <w:szCs w:val="24"/>
        </w:rPr>
      </w:pPr>
      <w:r w:rsidRPr="00624855">
        <w:rPr>
          <w:szCs w:val="24"/>
        </w:rPr>
        <w:t>Covariate = [0] (no) if K0200A = [-] OR K0200B = [-] OR BMI &lt; [12.0], (‘-’ =No response available)</w:t>
      </w:r>
    </w:p>
    <w:p w14:paraId="6DB73792" w14:textId="77777777" w:rsidR="00902DD8" w:rsidRPr="006E1400" w:rsidRDefault="00902DD8" w:rsidP="00902DD8">
      <w:pPr>
        <w:pStyle w:val="ListContinue"/>
        <w:ind w:left="1080"/>
      </w:pPr>
      <w:r w:rsidRPr="006E1400">
        <w:t>Where: BMI = (weight * 703 / height</w:t>
      </w:r>
      <w:r w:rsidRPr="006E1400">
        <w:rPr>
          <w:vertAlign w:val="superscript"/>
        </w:rPr>
        <w:t>2</w:t>
      </w:r>
      <w:r w:rsidRPr="006E1400">
        <w:t>) = ((K0200B) * 703) / (K0200A</w:t>
      </w:r>
      <w:r w:rsidRPr="006E1400">
        <w:rPr>
          <w:vertAlign w:val="superscript"/>
        </w:rPr>
        <w:t>2</w:t>
      </w:r>
      <w:r w:rsidRPr="006E1400">
        <w:t>) and the resulting value is rounded to one decimal.</w:t>
      </w:r>
    </w:p>
    <w:p w14:paraId="28DBC1F1" w14:textId="133248C9" w:rsidR="00902DD8" w:rsidRPr="00AF5E72" w:rsidRDefault="00902DD8" w:rsidP="00AF5E72">
      <w:pPr>
        <w:pStyle w:val="Heading5"/>
        <w:ind w:firstLine="0"/>
        <w:rPr>
          <w:b/>
          <w:color w:val="000000" w:themeColor="text1"/>
          <w:szCs w:val="20"/>
        </w:rPr>
      </w:pPr>
      <w:bookmarkStart w:id="35" w:name="_Toc416789482"/>
      <w:bookmarkStart w:id="36" w:name="_Toc416789698"/>
      <w:bookmarkStart w:id="37" w:name="_Toc416956577"/>
      <w:bookmarkStart w:id="38" w:name="_Toc416967159"/>
      <w:r w:rsidRPr="00AF5E72">
        <w:rPr>
          <w:b/>
          <w:color w:val="000000" w:themeColor="text1"/>
          <w:szCs w:val="20"/>
        </w:rPr>
        <w:t xml:space="preserve">LTCH </w:t>
      </w:r>
      <w:r w:rsidR="00B04869" w:rsidRPr="00AF5E72">
        <w:rPr>
          <w:b/>
          <w:color w:val="000000" w:themeColor="text1"/>
          <w:szCs w:val="20"/>
        </w:rPr>
        <w:t xml:space="preserve">Risk Adjustment </w:t>
      </w:r>
      <w:r w:rsidRPr="00AF5E72">
        <w:rPr>
          <w:b/>
          <w:color w:val="000000" w:themeColor="text1"/>
          <w:szCs w:val="20"/>
        </w:rPr>
        <w:t>Covariates</w:t>
      </w:r>
      <w:bookmarkEnd w:id="35"/>
      <w:bookmarkEnd w:id="36"/>
      <w:bookmarkEnd w:id="37"/>
      <w:bookmarkEnd w:id="38"/>
      <w:r w:rsidRPr="00AF5E72">
        <w:rPr>
          <w:b/>
          <w:color w:val="000000" w:themeColor="text1"/>
          <w:szCs w:val="20"/>
        </w:rPr>
        <w:t xml:space="preserve"> </w:t>
      </w:r>
    </w:p>
    <w:p w14:paraId="11AC1598" w14:textId="77777777" w:rsidR="00902DD8" w:rsidRPr="006E1400" w:rsidRDefault="00902DD8" w:rsidP="00902DD8">
      <w:pPr>
        <w:pStyle w:val="BodyText"/>
      </w:pPr>
      <w:r w:rsidRPr="006E1400">
        <w:t xml:space="preserve">For each patient stay covariate values are assigned, either ‘0’ for covariate condition not present or ‘1’ for covariate condition present, as reported on the initial assessment. </w:t>
      </w:r>
    </w:p>
    <w:p w14:paraId="11C50FEF" w14:textId="77777777" w:rsidR="00902DD8" w:rsidRDefault="00902DD8" w:rsidP="00C42C98">
      <w:pPr>
        <w:pStyle w:val="ListNumber"/>
        <w:numPr>
          <w:ilvl w:val="0"/>
          <w:numId w:val="11"/>
        </w:numPr>
      </w:pPr>
      <w:r w:rsidRPr="006E1400">
        <w:t>Indicator of supervision/touching assistance or more for the functional mobility item Lying to Sitting on Side of Bed on the admission assessment:</w:t>
      </w:r>
    </w:p>
    <w:p w14:paraId="500101A4" w14:textId="77777777" w:rsidR="00902DD8" w:rsidRPr="000C11FE" w:rsidRDefault="00902DD8" w:rsidP="00902DD8">
      <w:pPr>
        <w:pStyle w:val="ListContinue"/>
        <w:ind w:left="1080"/>
      </w:pPr>
      <w:r w:rsidRPr="000C11FE">
        <w:t>Covariate = [1] (yes) if GG0160C</w:t>
      </w:r>
      <w:r w:rsidRPr="000C11FE">
        <w:rPr>
          <w:rStyle w:val="FootnoteReference"/>
          <w:color w:val="auto"/>
        </w:rPr>
        <w:footnoteReference w:id="23"/>
      </w:r>
      <w:r w:rsidRPr="000C11FE">
        <w:t xml:space="preserve"> = [01, 02, 03, 04, 07, 09, 88] ([01] = Dependent, [02] =Substantial/maximal assistance, [03] =Partial/moderate assistance, [04] =Supervision or touching assistance, [07] = Patient refused, [09] = Not applicable, [88] = (activity) not attempted due to medical condition or safety concerns)</w:t>
      </w:r>
    </w:p>
    <w:p w14:paraId="51A8C4CC" w14:textId="679BB84A" w:rsidR="00902DD8" w:rsidRPr="000C11FE" w:rsidRDefault="00902DD8" w:rsidP="00902DD8">
      <w:pPr>
        <w:pStyle w:val="ListContinue"/>
        <w:ind w:left="1080"/>
      </w:pPr>
      <w:r w:rsidRPr="000C11FE">
        <w:t>Covariate = [0] (no) if GG0160C</w:t>
      </w:r>
      <w:r w:rsidR="006C075E" w:rsidRPr="00F02C4B">
        <w:rPr>
          <w:rStyle w:val="FootnoteReference"/>
          <w:color w:val="auto"/>
        </w:rPr>
        <w:t>35</w:t>
      </w:r>
      <w:r w:rsidRPr="000C11FE">
        <w:t xml:space="preserve"> = [05, 06, -, ^] ([05] =Setup or clean-up assistance, [06] = Independent, [-]=No response available, [^] =Valid skip)</w:t>
      </w:r>
    </w:p>
    <w:p w14:paraId="5292A63E" w14:textId="77777777" w:rsidR="00902DD8" w:rsidRPr="000C11FE" w:rsidRDefault="00902DD8" w:rsidP="00C42C98">
      <w:pPr>
        <w:pStyle w:val="ListNumber"/>
        <w:numPr>
          <w:ilvl w:val="0"/>
          <w:numId w:val="11"/>
        </w:numPr>
      </w:pPr>
      <w:r w:rsidRPr="000C11FE">
        <w:t>Indicator of bowel incontinence at least occasionally on the admission assessment:</w:t>
      </w:r>
    </w:p>
    <w:p w14:paraId="5F007416" w14:textId="77777777" w:rsidR="00902DD8" w:rsidRPr="006E1400" w:rsidRDefault="00902DD8" w:rsidP="00902DD8">
      <w:pPr>
        <w:pStyle w:val="ListContinue"/>
        <w:ind w:left="1080"/>
      </w:pPr>
      <w:r w:rsidRPr="000C11FE">
        <w:t>Covariate = [1] (yes) if H0400 = [1, 2, 3] ([1] = Occasionally incontinent, [2] = Frequently incontinent, [3] = Always incontinent</w:t>
      </w:r>
      <w:r w:rsidRPr="006E1400">
        <w:t>)</w:t>
      </w:r>
    </w:p>
    <w:p w14:paraId="2F72487C" w14:textId="77777777" w:rsidR="00902DD8" w:rsidRPr="006E1400" w:rsidRDefault="00902DD8" w:rsidP="00902DD8">
      <w:pPr>
        <w:pStyle w:val="ListContinue"/>
        <w:ind w:left="1080"/>
      </w:pPr>
      <w:r w:rsidRPr="006E1400">
        <w:t xml:space="preserve">Covariate = [0] (no) if H0400 = [0, </w:t>
      </w:r>
      <w:r>
        <w:t>9</w:t>
      </w:r>
      <w:r w:rsidRPr="006E1400">
        <w:t>, - , ^] (</w:t>
      </w:r>
      <w:r>
        <w:t>[</w:t>
      </w:r>
      <w:r w:rsidRPr="006E1400">
        <w:t>0</w:t>
      </w:r>
      <w:r>
        <w:t>]</w:t>
      </w:r>
      <w:r w:rsidRPr="006E1400">
        <w:t xml:space="preserve"> </w:t>
      </w:r>
      <w:r>
        <w:t>=</w:t>
      </w:r>
      <w:r w:rsidRPr="006E1400">
        <w:t xml:space="preserve"> Always continent, </w:t>
      </w:r>
      <w:r>
        <w:t>[</w:t>
      </w:r>
      <w:r w:rsidRPr="006E1400">
        <w:t>9</w:t>
      </w:r>
      <w:r>
        <w:t>]</w:t>
      </w:r>
      <w:r w:rsidRPr="006E1400">
        <w:t xml:space="preserve"> </w:t>
      </w:r>
      <w:r>
        <w:t>=</w:t>
      </w:r>
      <w:r w:rsidRPr="006E1400">
        <w:t xml:space="preserve"> Not rated, </w:t>
      </w:r>
      <w:r>
        <w:t>[</w:t>
      </w:r>
      <w:r w:rsidRPr="006E1400">
        <w:t>-</w:t>
      </w:r>
      <w:r>
        <w:t>]=</w:t>
      </w:r>
      <w:r w:rsidRPr="006E1400">
        <w:t xml:space="preserve"> No response available, </w:t>
      </w:r>
      <w:r>
        <w:t>[</w:t>
      </w:r>
      <w:r w:rsidRPr="006E1400">
        <w:t>^</w:t>
      </w:r>
      <w:r>
        <w:t>]</w:t>
      </w:r>
      <w:r w:rsidRPr="006E1400">
        <w:t xml:space="preserve"> </w:t>
      </w:r>
      <w:r>
        <w:t>=</w:t>
      </w:r>
      <w:r w:rsidRPr="006E1400">
        <w:t xml:space="preserve"> Valid skip) </w:t>
      </w:r>
    </w:p>
    <w:p w14:paraId="4E538461" w14:textId="77777777" w:rsidR="00902DD8" w:rsidRPr="006E1400" w:rsidRDefault="00902DD8" w:rsidP="00C42C98">
      <w:pPr>
        <w:pStyle w:val="ListNumber"/>
        <w:numPr>
          <w:ilvl w:val="0"/>
          <w:numId w:val="11"/>
        </w:numPr>
      </w:pPr>
      <w:r w:rsidRPr="006E1400">
        <w:t>Have diabetes or peripheral vascular disease on admission assessment:</w:t>
      </w:r>
    </w:p>
    <w:p w14:paraId="750A5414" w14:textId="77777777" w:rsidR="00902DD8" w:rsidRPr="006E1400" w:rsidRDefault="00902DD8" w:rsidP="00902DD8">
      <w:pPr>
        <w:pStyle w:val="ListContinue"/>
        <w:ind w:left="1080"/>
      </w:pPr>
      <w:r w:rsidRPr="006E1400">
        <w:lastRenderedPageBreak/>
        <w:t>Covariate = [1] (yes) if any of the following are true:</w:t>
      </w:r>
    </w:p>
    <w:p w14:paraId="2848711D" w14:textId="365F3310" w:rsidR="00902DD8" w:rsidRPr="006E1400" w:rsidRDefault="00902DD8" w:rsidP="00C42C98">
      <w:pPr>
        <w:pStyle w:val="ListNumber2"/>
        <w:numPr>
          <w:ilvl w:val="0"/>
          <w:numId w:val="12"/>
        </w:numPr>
        <w:ind w:left="1440"/>
      </w:pPr>
      <w:r w:rsidRPr="006E1400">
        <w:t>I0900 = [1] (checked)</w:t>
      </w:r>
    </w:p>
    <w:p w14:paraId="7E282419" w14:textId="542A4A15" w:rsidR="00902DD8" w:rsidRPr="006E1400" w:rsidRDefault="00902DD8" w:rsidP="009E6FE1">
      <w:pPr>
        <w:pStyle w:val="ListNumber2"/>
        <w:ind w:left="1440"/>
      </w:pPr>
      <w:r w:rsidRPr="006E1400">
        <w:t>I2900 = [1] (checked)</w:t>
      </w:r>
    </w:p>
    <w:p w14:paraId="64FDC69F" w14:textId="77777777" w:rsidR="00902DD8" w:rsidRPr="006E1400" w:rsidRDefault="00902DD8" w:rsidP="00902DD8">
      <w:pPr>
        <w:pStyle w:val="ListContinue"/>
        <w:ind w:left="1080"/>
      </w:pPr>
      <w:r w:rsidRPr="006E1400">
        <w:t>Covariate = [0] (no) if I0900 = [0, -] AND I2900 = [0, -]</w:t>
      </w:r>
    </w:p>
    <w:p w14:paraId="76B99F32" w14:textId="77777777" w:rsidR="00902DD8" w:rsidRPr="006E1400" w:rsidRDefault="00902DD8" w:rsidP="00C42C98">
      <w:pPr>
        <w:pStyle w:val="ListNumber"/>
        <w:numPr>
          <w:ilvl w:val="0"/>
          <w:numId w:val="11"/>
        </w:numPr>
      </w:pPr>
      <w:r w:rsidRPr="006E1400">
        <w:t>Indicator of Low Body Mass Index, based on Height (K0200A) and Weight (K0200B) on the admission assessment:</w:t>
      </w:r>
    </w:p>
    <w:p w14:paraId="4A1D2E69" w14:textId="77777777" w:rsidR="00902DD8" w:rsidRPr="006E1400" w:rsidRDefault="00902DD8" w:rsidP="00902DD8">
      <w:pPr>
        <w:pStyle w:val="ListContinue"/>
        <w:ind w:left="1080"/>
      </w:pPr>
      <w:r w:rsidRPr="006E1400">
        <w:t xml:space="preserve">Covariate = [1] (yes) if BMI ≥ [12.0] AND ≤ [19.0] </w:t>
      </w:r>
    </w:p>
    <w:p w14:paraId="5C8A45B0" w14:textId="77777777" w:rsidR="00902DD8" w:rsidRPr="006E1400" w:rsidRDefault="00902DD8" w:rsidP="00902DD8">
      <w:pPr>
        <w:pStyle w:val="ListContinue"/>
        <w:ind w:left="1080"/>
      </w:pPr>
      <w:r w:rsidRPr="006E1400">
        <w:t xml:space="preserve">Covariate = [0] (no) if BMI &gt; [19.0] </w:t>
      </w:r>
    </w:p>
    <w:p w14:paraId="3FA05F15" w14:textId="77777777" w:rsidR="00902DD8" w:rsidRPr="006E1400" w:rsidRDefault="00902DD8" w:rsidP="00902DD8">
      <w:pPr>
        <w:pStyle w:val="ListContinue"/>
        <w:ind w:left="1080"/>
      </w:pPr>
      <w:r w:rsidRPr="006E1400">
        <w:t>Covariate = [0] (no) if K0200A = [-] OR K0200B = [-] OR BMI &lt; [12.0], (‘-‘  = No response available)</w:t>
      </w:r>
    </w:p>
    <w:p w14:paraId="066C82EC" w14:textId="77777777" w:rsidR="00902DD8" w:rsidRPr="006E1400" w:rsidRDefault="00902DD8" w:rsidP="00902DD8">
      <w:pPr>
        <w:pStyle w:val="ListContinue"/>
        <w:ind w:left="1080"/>
      </w:pPr>
      <w:r w:rsidRPr="006E1400">
        <w:t>Where: BMI = (weight * 703 / height</w:t>
      </w:r>
      <w:r w:rsidRPr="006E1400">
        <w:rPr>
          <w:vertAlign w:val="superscript"/>
        </w:rPr>
        <w:t>2</w:t>
      </w:r>
      <w:r w:rsidRPr="006E1400">
        <w:t>) = (</w:t>
      </w:r>
      <w:r>
        <w:t>(</w:t>
      </w:r>
      <w:r w:rsidRPr="006E1400">
        <w:t>K0200B</w:t>
      </w:r>
      <w:r>
        <w:t>)</w:t>
      </w:r>
      <w:r w:rsidRPr="006E1400">
        <w:t xml:space="preserve"> * 703) / (K0200A</w:t>
      </w:r>
      <w:r w:rsidRPr="006E1400">
        <w:rPr>
          <w:vertAlign w:val="superscript"/>
        </w:rPr>
        <w:t>2</w:t>
      </w:r>
      <w:r w:rsidRPr="006E1400">
        <w:t>) and the resulting value is rounded to one decimal.</w:t>
      </w:r>
    </w:p>
    <w:p w14:paraId="0BE7467E" w14:textId="0B1F0EBB" w:rsidR="00902DD8" w:rsidRPr="00AF5E72" w:rsidRDefault="00902DD8" w:rsidP="009E6FE1">
      <w:pPr>
        <w:pStyle w:val="Heading5"/>
        <w:ind w:firstLine="0"/>
        <w:rPr>
          <w:b/>
          <w:color w:val="000000" w:themeColor="text1"/>
          <w:szCs w:val="20"/>
        </w:rPr>
      </w:pPr>
      <w:r w:rsidRPr="00AF5E72">
        <w:rPr>
          <w:b/>
          <w:color w:val="000000" w:themeColor="text1"/>
          <w:szCs w:val="20"/>
        </w:rPr>
        <w:t xml:space="preserve">IRF </w:t>
      </w:r>
      <w:r w:rsidR="00B04869" w:rsidRPr="00AF5E72">
        <w:rPr>
          <w:b/>
          <w:color w:val="000000" w:themeColor="text1"/>
          <w:szCs w:val="20"/>
        </w:rPr>
        <w:t xml:space="preserve">Risk Adjustment </w:t>
      </w:r>
      <w:r w:rsidRPr="00AF5E72">
        <w:rPr>
          <w:b/>
          <w:color w:val="000000" w:themeColor="text1"/>
          <w:szCs w:val="20"/>
        </w:rPr>
        <w:t>Covariates</w:t>
      </w:r>
    </w:p>
    <w:p w14:paraId="42881070" w14:textId="77777777" w:rsidR="00902DD8" w:rsidRPr="006E1400" w:rsidRDefault="00902DD8" w:rsidP="00902DD8">
      <w:pPr>
        <w:pStyle w:val="BodyText"/>
        <w:rPr>
          <w:b/>
          <w:i/>
        </w:rPr>
      </w:pPr>
      <w:r w:rsidRPr="006E1400">
        <w:t>For each patient stay covariate values are assigned, either ‘0’ for covariate condition not present or ‘1’ for covariate condition present, as reported on the initial assessment</w:t>
      </w:r>
    </w:p>
    <w:p w14:paraId="78EB6928" w14:textId="77777777" w:rsidR="00902DD8" w:rsidRDefault="00902DD8" w:rsidP="00C42C98">
      <w:pPr>
        <w:pStyle w:val="ListNumber"/>
        <w:numPr>
          <w:ilvl w:val="0"/>
          <w:numId w:val="13"/>
        </w:numPr>
      </w:pPr>
      <w:r w:rsidRPr="006E1400">
        <w:t>Indicator of requiring minimal or more assistance for the FIM</w:t>
      </w:r>
      <w:r w:rsidRPr="009E6FE1">
        <w:rPr>
          <w:vertAlign w:val="superscript"/>
        </w:rPr>
        <w:t xml:space="preserve">® </w:t>
      </w:r>
      <w:r w:rsidRPr="006E1400">
        <w:t>Item (39I) Transfers: Bed, Chair, and Wheelchair on admission:</w:t>
      </w:r>
    </w:p>
    <w:p w14:paraId="7A2E26E1" w14:textId="77777777" w:rsidR="00902DD8" w:rsidRPr="006E1400" w:rsidRDefault="00902DD8" w:rsidP="009E6FE1">
      <w:pPr>
        <w:pStyle w:val="ListContinue"/>
        <w:ind w:left="1080"/>
      </w:pPr>
      <w:r w:rsidRPr="006E1400">
        <w:t>Covariate = [1] (yes) if 39I FIM Levels = [0, 1, 2, 3, 4] (</w:t>
      </w:r>
      <w:r>
        <w:t>[</w:t>
      </w:r>
      <w:r w:rsidRPr="006E1400">
        <w:t>0</w:t>
      </w:r>
      <w:r>
        <w:t>]=</w:t>
      </w:r>
      <w:r w:rsidRPr="006E1400">
        <w:t xml:space="preserve"> Activity does not occur, </w:t>
      </w:r>
      <w:r>
        <w:t>[</w:t>
      </w:r>
      <w:r w:rsidRPr="006E1400">
        <w:t>1</w:t>
      </w:r>
      <w:r>
        <w:t>]</w:t>
      </w:r>
      <w:r w:rsidRPr="006E1400">
        <w:t xml:space="preserve"> </w:t>
      </w:r>
      <w:r>
        <w:t>=</w:t>
      </w:r>
      <w:r w:rsidRPr="006E1400">
        <w:t xml:space="preserve"> Total </w:t>
      </w:r>
      <w:r w:rsidRPr="002B18D5">
        <w:t>Assistance</w:t>
      </w:r>
      <w:r w:rsidRPr="006E1400">
        <w:t xml:space="preserve"> (Subject less than 25%), </w:t>
      </w:r>
      <w:r>
        <w:t>[</w:t>
      </w:r>
      <w:r w:rsidRPr="006E1400">
        <w:t>2</w:t>
      </w:r>
      <w:r>
        <w:t>]=</w:t>
      </w:r>
      <w:r w:rsidRPr="006E1400">
        <w:t xml:space="preserve">Maximal Assistance (Subject = 25% or more), </w:t>
      </w:r>
      <w:r>
        <w:t>[</w:t>
      </w:r>
      <w:r w:rsidRPr="006E1400">
        <w:t>3</w:t>
      </w:r>
      <w:r>
        <w:t>]</w:t>
      </w:r>
      <w:r w:rsidRPr="006E1400">
        <w:t xml:space="preserve"> </w:t>
      </w:r>
      <w:r>
        <w:t>=</w:t>
      </w:r>
      <w:r w:rsidRPr="006E1400">
        <w:t xml:space="preserve"> Moderate Assistance (Subject = 50% or more), </w:t>
      </w:r>
      <w:r>
        <w:t>[</w:t>
      </w:r>
      <w:r w:rsidRPr="006E1400">
        <w:t>4</w:t>
      </w:r>
      <w:r>
        <w:t>]</w:t>
      </w:r>
      <w:r w:rsidRPr="006E1400">
        <w:t xml:space="preserve"> </w:t>
      </w:r>
      <w:r>
        <w:t>=</w:t>
      </w:r>
      <w:r w:rsidRPr="006E1400">
        <w:t xml:space="preserve"> Minimal Assistance (Subject = 75% or more))</w:t>
      </w:r>
    </w:p>
    <w:p w14:paraId="57966F9C" w14:textId="77777777" w:rsidR="00902DD8" w:rsidRPr="006E1400" w:rsidRDefault="00902DD8" w:rsidP="00902DD8">
      <w:pPr>
        <w:pStyle w:val="List4"/>
      </w:pPr>
      <w:r w:rsidRPr="006E1400">
        <w:t>Covariate = [0] (no) if 39I FIM Levels = [</w:t>
      </w:r>
      <w:r>
        <w:t>5,6,7,</w:t>
      </w:r>
      <w:r w:rsidRPr="006E1400">
        <w:t xml:space="preserve"> -, ^]</w:t>
      </w:r>
      <w:r>
        <w:t>(</w:t>
      </w:r>
      <w:r w:rsidRPr="006E1400">
        <w:t xml:space="preserve"> </w:t>
      </w:r>
      <w:r>
        <w:t>[</w:t>
      </w:r>
      <w:r w:rsidRPr="006E1400">
        <w:t>5</w:t>
      </w:r>
      <w:r>
        <w:t>]</w:t>
      </w:r>
      <w:r w:rsidRPr="006E1400">
        <w:t xml:space="preserve"> </w:t>
      </w:r>
      <w:r>
        <w:t>=</w:t>
      </w:r>
      <w:r w:rsidRPr="006E1400">
        <w:t xml:space="preserve"> Supervision (Subject = 100%),  </w:t>
      </w:r>
      <w:r>
        <w:t>[</w:t>
      </w:r>
      <w:r w:rsidRPr="006E1400">
        <w:t xml:space="preserve">6 </w:t>
      </w:r>
      <w:r>
        <w:t>]=</w:t>
      </w:r>
      <w:r w:rsidRPr="006E1400">
        <w:t xml:space="preserve"> Modified Independence (Device</w:t>
      </w:r>
      <w:r>
        <w:t>),</w:t>
      </w:r>
      <w:r w:rsidRPr="003C6376">
        <w:t xml:space="preserve"> </w:t>
      </w:r>
      <w:r>
        <w:t>[</w:t>
      </w:r>
      <w:r w:rsidRPr="006E1400">
        <w:t>7</w:t>
      </w:r>
      <w:r>
        <w:t>]</w:t>
      </w:r>
      <w:r w:rsidRPr="006E1400">
        <w:t xml:space="preserve"> </w:t>
      </w:r>
      <w:r>
        <w:t>=</w:t>
      </w:r>
      <w:r w:rsidRPr="006E1400">
        <w:t xml:space="preserve">Complete Independence (Timely, Safely), </w:t>
      </w:r>
      <w:r>
        <w:t>[–] =</w:t>
      </w:r>
      <w:r w:rsidRPr="006E1400">
        <w:t xml:space="preserve"> No response available, </w:t>
      </w:r>
      <w:r>
        <w:t>[</w:t>
      </w:r>
      <w:r w:rsidRPr="006E1400">
        <w:t>^</w:t>
      </w:r>
      <w:r>
        <w:t>]</w:t>
      </w:r>
      <w:r w:rsidRPr="006E1400">
        <w:t xml:space="preserve"> </w:t>
      </w:r>
      <w:r>
        <w:t>=</w:t>
      </w:r>
      <w:r w:rsidRPr="006E1400">
        <w:t xml:space="preserve"> Valid skip)</w:t>
      </w:r>
    </w:p>
    <w:p w14:paraId="4144A6D6" w14:textId="77777777" w:rsidR="00902DD8" w:rsidRPr="006E1400" w:rsidRDefault="00902DD8" w:rsidP="00C42C98">
      <w:pPr>
        <w:pStyle w:val="ListNumber"/>
        <w:numPr>
          <w:ilvl w:val="0"/>
          <w:numId w:val="13"/>
        </w:numPr>
      </w:pPr>
      <w:r w:rsidRPr="006E1400">
        <w:t>Indicator of bowel incontinence at least occasionally on admission:</w:t>
      </w:r>
    </w:p>
    <w:p w14:paraId="01C1408E" w14:textId="77777777" w:rsidR="00902DD8" w:rsidRPr="006E1400" w:rsidRDefault="00902DD8" w:rsidP="00E26F66">
      <w:pPr>
        <w:pStyle w:val="ListContinue"/>
        <w:ind w:left="1080"/>
      </w:pPr>
      <w:r w:rsidRPr="006E1400">
        <w:t>Covariate = [1] (yes) if Item 32= [1,2,3,4,5] (</w:t>
      </w:r>
      <w:r>
        <w:t>[</w:t>
      </w:r>
      <w:r w:rsidRPr="006E1400">
        <w:t>1</w:t>
      </w:r>
      <w:r>
        <w:t>]</w:t>
      </w:r>
      <w:r w:rsidRPr="006E1400">
        <w:t xml:space="preserve"> </w:t>
      </w:r>
      <w:r>
        <w:t>=</w:t>
      </w:r>
      <w:r w:rsidRPr="006E1400">
        <w:t xml:space="preserve"> Five or more accidents in the past 7 days, </w:t>
      </w:r>
      <w:r>
        <w:t>[</w:t>
      </w:r>
      <w:r w:rsidRPr="006E1400">
        <w:t>2</w:t>
      </w:r>
      <w:r>
        <w:t>]</w:t>
      </w:r>
      <w:r w:rsidRPr="006E1400">
        <w:t xml:space="preserve"> </w:t>
      </w:r>
      <w:r>
        <w:t>=</w:t>
      </w:r>
      <w:r w:rsidRPr="006E1400">
        <w:t xml:space="preserve"> Four accidents in the past 7 days, </w:t>
      </w:r>
      <w:r>
        <w:t>[</w:t>
      </w:r>
      <w:r w:rsidRPr="006E1400">
        <w:t>3</w:t>
      </w:r>
      <w:r>
        <w:t>]</w:t>
      </w:r>
      <w:r w:rsidRPr="006E1400">
        <w:t xml:space="preserve"> </w:t>
      </w:r>
      <w:r>
        <w:t>=</w:t>
      </w:r>
      <w:r w:rsidRPr="006E1400">
        <w:t xml:space="preserve"> Three accidents in the past 7 days, </w:t>
      </w:r>
      <w:r>
        <w:t>[</w:t>
      </w:r>
      <w:r w:rsidRPr="006E1400">
        <w:t>4</w:t>
      </w:r>
      <w:r>
        <w:t>]</w:t>
      </w:r>
      <w:r w:rsidRPr="006E1400">
        <w:t xml:space="preserve"> </w:t>
      </w:r>
      <w:r>
        <w:t>=</w:t>
      </w:r>
      <w:r w:rsidRPr="006E1400">
        <w:t xml:space="preserve"> Two accidents in the past 7 days, </w:t>
      </w:r>
      <w:r>
        <w:t>[</w:t>
      </w:r>
      <w:r w:rsidRPr="006E1400">
        <w:t>5</w:t>
      </w:r>
      <w:r>
        <w:t>]</w:t>
      </w:r>
      <w:r w:rsidRPr="006E1400">
        <w:t xml:space="preserve"> </w:t>
      </w:r>
      <w:r>
        <w:t>=</w:t>
      </w:r>
      <w:r w:rsidRPr="006E1400">
        <w:t xml:space="preserve"> One accident in the past 7 days)</w:t>
      </w:r>
    </w:p>
    <w:p w14:paraId="6DD62EC5" w14:textId="77777777" w:rsidR="00902DD8" w:rsidRPr="006E1400" w:rsidRDefault="00902DD8" w:rsidP="00E26F66">
      <w:pPr>
        <w:pStyle w:val="ListContinue"/>
        <w:ind w:left="1080"/>
      </w:pPr>
      <w:r w:rsidRPr="006E1400">
        <w:t>Covariate = [0] (no) if Item 32 = [6, 7, - , ^] (</w:t>
      </w:r>
      <w:r>
        <w:t>[</w:t>
      </w:r>
      <w:r w:rsidRPr="006E1400">
        <w:t>6</w:t>
      </w:r>
      <w:r>
        <w:t>]</w:t>
      </w:r>
      <w:r w:rsidRPr="006E1400">
        <w:t xml:space="preserve"> </w:t>
      </w:r>
      <w:r>
        <w:t>=</w:t>
      </w:r>
      <w:r w:rsidRPr="006E1400">
        <w:t xml:space="preserve"> No accidents; uses device such as a ostomy, </w:t>
      </w:r>
      <w:r>
        <w:t>[</w:t>
      </w:r>
      <w:r w:rsidRPr="006E1400">
        <w:t>7</w:t>
      </w:r>
      <w:r>
        <w:t>]</w:t>
      </w:r>
      <w:r w:rsidRPr="006E1400">
        <w:t xml:space="preserve"> </w:t>
      </w:r>
      <w:r>
        <w:t>=</w:t>
      </w:r>
      <w:r w:rsidRPr="006E1400">
        <w:t xml:space="preserve"> No accidents, </w:t>
      </w:r>
      <w:r>
        <w:t>[</w:t>
      </w:r>
      <w:r w:rsidRPr="006E1400">
        <w:t>-</w:t>
      </w:r>
      <w:r>
        <w:t>]=</w:t>
      </w:r>
      <w:r w:rsidRPr="006E1400">
        <w:t xml:space="preserve">No response available, </w:t>
      </w:r>
      <w:r>
        <w:t>[</w:t>
      </w:r>
      <w:r w:rsidRPr="006E1400">
        <w:t>^</w:t>
      </w:r>
      <w:r>
        <w:t>]</w:t>
      </w:r>
      <w:r w:rsidRPr="006E1400">
        <w:t xml:space="preserve"> </w:t>
      </w:r>
      <w:r>
        <w:t>=</w:t>
      </w:r>
      <w:r w:rsidRPr="006E1400">
        <w:t xml:space="preserve"> Valid skip)</w:t>
      </w:r>
    </w:p>
    <w:p w14:paraId="4CCD3BB2" w14:textId="77777777" w:rsidR="00902DD8" w:rsidRPr="006E1400" w:rsidRDefault="00902DD8" w:rsidP="00C42C98">
      <w:pPr>
        <w:pStyle w:val="ListNumber"/>
        <w:numPr>
          <w:ilvl w:val="0"/>
          <w:numId w:val="13"/>
        </w:numPr>
      </w:pPr>
      <w:r w:rsidRPr="006E1400">
        <w:t xml:space="preserve">Have </w:t>
      </w:r>
      <w:r>
        <w:t>peripheral vascular disease or peripheral arterial disease or diabetes</w:t>
      </w:r>
      <w:r w:rsidRPr="006E1400">
        <w:t>:</w:t>
      </w:r>
    </w:p>
    <w:p w14:paraId="7877FD71" w14:textId="77777777" w:rsidR="00902DD8" w:rsidRPr="006E1400" w:rsidRDefault="00902DD8" w:rsidP="00E26F66">
      <w:pPr>
        <w:pStyle w:val="ListContinue"/>
        <w:ind w:left="1080"/>
      </w:pPr>
      <w:r w:rsidRPr="006E1400">
        <w:t>Covariate = [1] (yes) if any of the following are true:</w:t>
      </w:r>
    </w:p>
    <w:p w14:paraId="2E42D9D4" w14:textId="6D9E6A3B" w:rsidR="00902DD8" w:rsidRPr="006E1400" w:rsidRDefault="00902DD8" w:rsidP="00C42C98">
      <w:pPr>
        <w:pStyle w:val="ListNumber2"/>
        <w:numPr>
          <w:ilvl w:val="0"/>
          <w:numId w:val="14"/>
        </w:numPr>
        <w:ind w:left="1440"/>
      </w:pPr>
      <w:r w:rsidRPr="006E1400">
        <w:lastRenderedPageBreak/>
        <w:t>I0900 = [1] (checked)</w:t>
      </w:r>
    </w:p>
    <w:p w14:paraId="55AB6491" w14:textId="2F64D7B3" w:rsidR="00902DD8" w:rsidRPr="006E1400" w:rsidRDefault="00902DD8" w:rsidP="00E26F66">
      <w:pPr>
        <w:pStyle w:val="ListNumber2"/>
        <w:ind w:left="1440"/>
      </w:pPr>
      <w:r w:rsidRPr="006E1400">
        <w:t>I2900 = [1] (checked)</w:t>
      </w:r>
      <w:r w:rsidR="004529EE">
        <w:t xml:space="preserve"> </w:t>
      </w:r>
      <w:r w:rsidRPr="006E1400">
        <w:t>Covariate = [0] (no) if I0900</w:t>
      </w:r>
      <w:r>
        <w:t xml:space="preserve"> = [0, -] AND I2900A = [0, -] </w:t>
      </w:r>
      <w:r w:rsidRPr="006E1400">
        <w:t>Indicator of Low Body Mass Index, based on Height (25A) and Weight (26A) on the assessment:</w:t>
      </w:r>
    </w:p>
    <w:p w14:paraId="2B3E049D" w14:textId="77777777" w:rsidR="00902DD8" w:rsidRPr="006E1400" w:rsidRDefault="00902DD8" w:rsidP="00E26F66">
      <w:pPr>
        <w:pStyle w:val="ListContinue"/>
        <w:ind w:left="1080"/>
      </w:pPr>
      <w:r w:rsidRPr="006E1400">
        <w:t>Covariate = [1] (yes) if BMI &gt;= [12.0] AND ≤ [19.0]</w:t>
      </w:r>
    </w:p>
    <w:p w14:paraId="0543D122" w14:textId="77777777" w:rsidR="00902DD8" w:rsidRPr="006E1400" w:rsidRDefault="00902DD8" w:rsidP="00E26F66">
      <w:pPr>
        <w:pStyle w:val="ListContinue"/>
        <w:ind w:left="1080"/>
      </w:pPr>
      <w:r w:rsidRPr="006E1400">
        <w:t xml:space="preserve">Covariate = [0] (no) if BMI &gt; [19.0] </w:t>
      </w:r>
    </w:p>
    <w:p w14:paraId="15BAAD84" w14:textId="77777777" w:rsidR="00902DD8" w:rsidRPr="006E1400" w:rsidRDefault="00902DD8" w:rsidP="00E26F66">
      <w:pPr>
        <w:pStyle w:val="ListContinue"/>
        <w:ind w:left="1080"/>
      </w:pPr>
      <w:r w:rsidRPr="006E1400">
        <w:t>Covariate = [0] (no) if 25A = [-] OR 26A = [-] OR BMI &lt; [12.0] (</w:t>
      </w:r>
      <w:r>
        <w:t>[</w:t>
      </w:r>
      <w:r w:rsidRPr="006E1400">
        <w:t>-</w:t>
      </w:r>
      <w:r>
        <w:t>]</w:t>
      </w:r>
      <w:r w:rsidRPr="006E1400">
        <w:t xml:space="preserve"> = No response available)</w:t>
      </w:r>
    </w:p>
    <w:p w14:paraId="359F6237" w14:textId="77777777" w:rsidR="00902DD8" w:rsidRPr="006E1400" w:rsidRDefault="00902DD8" w:rsidP="00E26F66">
      <w:pPr>
        <w:pStyle w:val="ListContinue"/>
        <w:ind w:left="1080"/>
      </w:pPr>
      <w:r w:rsidRPr="006E1400">
        <w:t>Where: BMI = (weight * 703 / height</w:t>
      </w:r>
      <w:r w:rsidRPr="006E1400">
        <w:rPr>
          <w:vertAlign w:val="superscript"/>
        </w:rPr>
        <w:t>2</w:t>
      </w:r>
      <w:r w:rsidRPr="006E1400">
        <w:t>) = (</w:t>
      </w:r>
      <w:r>
        <w:t>(</w:t>
      </w:r>
      <w:r w:rsidRPr="006E1400">
        <w:t>26A</w:t>
      </w:r>
      <w:r>
        <w:t>)</w:t>
      </w:r>
      <w:r w:rsidRPr="006E1400">
        <w:t xml:space="preserve"> * 703) / (25A)</w:t>
      </w:r>
      <w:r w:rsidRPr="006E1400">
        <w:rPr>
          <w:vertAlign w:val="superscript"/>
        </w:rPr>
        <w:t xml:space="preserve"> 2</w:t>
      </w:r>
      <w:r w:rsidRPr="006E1400">
        <w:t xml:space="preserve"> and the resulting value is rounded to one decimal.</w:t>
      </w:r>
    </w:p>
    <w:p w14:paraId="3E87B9D6" w14:textId="19235860" w:rsidR="00902DD8" w:rsidRPr="006E1400" w:rsidRDefault="00902DD8" w:rsidP="00902DD8">
      <w:pPr>
        <w:pStyle w:val="Heading4"/>
      </w:pPr>
      <w:bookmarkStart w:id="39" w:name="_Toc454378161"/>
      <w:r>
        <w:t>2.</w:t>
      </w:r>
      <w:r w:rsidR="00020DF6">
        <w:t>7</w:t>
      </w:r>
      <w:r>
        <w:tab/>
      </w:r>
      <w:r w:rsidRPr="006E1400">
        <w:t>Quality Measure Calculation</w:t>
      </w:r>
      <w:r>
        <w:t xml:space="preserve"> Algorithm</w:t>
      </w:r>
      <w:bookmarkEnd w:id="39"/>
    </w:p>
    <w:p w14:paraId="77F1291F" w14:textId="77777777" w:rsidR="00902DD8" w:rsidRPr="006E1400" w:rsidRDefault="00902DD8" w:rsidP="00902DD8">
      <w:pPr>
        <w:pStyle w:val="BodyText"/>
      </w:pPr>
      <w:r w:rsidRPr="006E1400">
        <w:t xml:space="preserve">The following steps are used to calculate the </w:t>
      </w:r>
      <w:r w:rsidRPr="002B18D5">
        <w:t>measure</w:t>
      </w:r>
      <w:r w:rsidRPr="006E1400">
        <w:t>:</w:t>
      </w:r>
    </w:p>
    <w:p w14:paraId="79C3770E" w14:textId="77777777" w:rsidR="00902DD8" w:rsidRPr="00E26F66" w:rsidRDefault="00902DD8" w:rsidP="00E26F66">
      <w:pPr>
        <w:pStyle w:val="ListParagraph"/>
        <w:rPr>
          <w:u w:val="single"/>
        </w:rPr>
      </w:pPr>
      <w:r w:rsidRPr="00E26F66">
        <w:rPr>
          <w:u w:val="single"/>
        </w:rPr>
        <w:t xml:space="preserve">A. </w:t>
      </w:r>
      <w:r w:rsidRPr="00E26F66">
        <w:rPr>
          <w:u w:val="single"/>
        </w:rPr>
        <w:tab/>
        <w:t>Calculate the facility observed score (steps 1 through 3)</w:t>
      </w:r>
    </w:p>
    <w:p w14:paraId="5ABB4A65" w14:textId="77777777" w:rsidR="00902DD8" w:rsidRPr="006E1400" w:rsidRDefault="00902DD8" w:rsidP="00E26F66">
      <w:pPr>
        <w:pStyle w:val="ListContinue"/>
        <w:ind w:left="1170"/>
      </w:pPr>
      <w:r w:rsidRPr="00C42C98">
        <w:rPr>
          <w:b/>
          <w:bCs/>
        </w:rPr>
        <w:t>Step 1.</w:t>
      </w:r>
      <w:r w:rsidRPr="006E1400">
        <w:t xml:space="preserve"> Calculate the </w:t>
      </w:r>
      <w:r w:rsidRPr="002B18D5">
        <w:t>denominator</w:t>
      </w:r>
      <w:r w:rsidRPr="006E1400">
        <w:t xml:space="preserve"> count:</w:t>
      </w:r>
    </w:p>
    <w:p w14:paraId="5E21FDB3" w14:textId="2EBE2D12" w:rsidR="00902DD8" w:rsidRPr="006E1400" w:rsidRDefault="00902DD8" w:rsidP="00E63120">
      <w:pPr>
        <w:pStyle w:val="ListContinue"/>
        <w:ind w:left="1350"/>
      </w:pPr>
      <w:r w:rsidRPr="006E1400">
        <w:t xml:space="preserve">In the </w:t>
      </w:r>
      <w:r>
        <w:t>SNF</w:t>
      </w:r>
      <w:r w:rsidRPr="006E1400">
        <w:t xml:space="preserve"> setting, calculate the total number of</w:t>
      </w:r>
      <w:r w:rsidR="00624855">
        <w:t xml:space="preserve"> complete</w:t>
      </w:r>
      <w:r w:rsidR="00E63120">
        <w:t xml:space="preserve"> Medicare Part A stays ending </w:t>
      </w:r>
      <w:r w:rsidRPr="006E1400">
        <w:t>in the measure time window, who do not meet the exclusion criteria.</w:t>
      </w:r>
    </w:p>
    <w:p w14:paraId="590EA347" w14:textId="77777777" w:rsidR="00902DD8" w:rsidRDefault="00902DD8" w:rsidP="00E26F66">
      <w:pPr>
        <w:pStyle w:val="ListContinue"/>
        <w:ind w:left="1350"/>
      </w:pPr>
      <w:r w:rsidRPr="006E1400">
        <w:t xml:space="preserve">In the LTCH setting, calculate the total number of </w:t>
      </w:r>
      <w:r>
        <w:t>stays</w:t>
      </w:r>
      <w:r w:rsidRPr="006E1400">
        <w:t xml:space="preserve"> with both an admission and discharge LTCH CARE Data Set assessment in the measure time window, who do not meet the exclusion criteria.</w:t>
      </w:r>
      <w:r>
        <w:t xml:space="preserve"> </w:t>
      </w:r>
    </w:p>
    <w:p w14:paraId="219AC02C" w14:textId="77777777" w:rsidR="00902DD8" w:rsidRPr="006E1400" w:rsidRDefault="00902DD8" w:rsidP="00E26F66">
      <w:pPr>
        <w:pStyle w:val="ListContinue"/>
        <w:ind w:left="1350"/>
      </w:pPr>
      <w:r w:rsidRPr="006E1400">
        <w:t xml:space="preserve">In the IRF setting, calculate the total number of </w:t>
      </w:r>
      <w:r>
        <w:t>stays</w:t>
      </w:r>
      <w:r w:rsidRPr="006E1400">
        <w:t xml:space="preserve"> with an IRF-PAI assessment in the measure time window, who do not meet the exclusion criteria. </w:t>
      </w:r>
    </w:p>
    <w:p w14:paraId="48CB289B" w14:textId="77777777" w:rsidR="00902DD8" w:rsidRPr="006E1400" w:rsidRDefault="00902DD8" w:rsidP="00E26F66">
      <w:pPr>
        <w:pStyle w:val="ListContinue"/>
        <w:ind w:left="1170"/>
      </w:pPr>
      <w:r w:rsidRPr="00C42C98">
        <w:rPr>
          <w:b/>
          <w:bCs/>
        </w:rPr>
        <w:t>Step 2.</w:t>
      </w:r>
      <w:r w:rsidRPr="006E1400">
        <w:t xml:space="preserve"> Calculate the numerator count:</w:t>
      </w:r>
    </w:p>
    <w:p w14:paraId="34E1AD3B" w14:textId="039E926F" w:rsidR="00902DD8" w:rsidRPr="006E1400" w:rsidRDefault="00902DD8" w:rsidP="00E63120">
      <w:pPr>
        <w:pStyle w:val="ListContinue"/>
        <w:ind w:left="1350"/>
      </w:pPr>
      <w:r w:rsidRPr="006E1400">
        <w:t xml:space="preserve">In the </w:t>
      </w:r>
      <w:r>
        <w:t>SNF</w:t>
      </w:r>
      <w:r w:rsidRPr="006E1400">
        <w:t xml:space="preserve"> setting, calculate the total number residents</w:t>
      </w:r>
      <w:r w:rsidR="00E63120">
        <w:t xml:space="preserve"> Medicare Part A stays</w:t>
      </w:r>
      <w:r w:rsidRPr="006E1400">
        <w:t xml:space="preserve"> in the denominator with </w:t>
      </w:r>
      <w:r w:rsidR="0045188D">
        <w:t xml:space="preserve">discharge </w:t>
      </w:r>
      <w:r w:rsidRPr="006E1400">
        <w:t>assessment that indicates one or more new or worsened pressure ulcers.</w:t>
      </w:r>
    </w:p>
    <w:p w14:paraId="50BF91FD" w14:textId="145E3227" w:rsidR="00902DD8" w:rsidRPr="006E1400" w:rsidRDefault="00902DD8" w:rsidP="00E26F66">
      <w:pPr>
        <w:pStyle w:val="ListContinue"/>
        <w:ind w:left="1350"/>
      </w:pPr>
      <w:r w:rsidRPr="006E1400">
        <w:t xml:space="preserve">In the LTCH setting, calculate the total number of </w:t>
      </w:r>
      <w:r w:rsidR="007D6F51">
        <w:t xml:space="preserve">patient </w:t>
      </w:r>
      <w:r>
        <w:t>stays</w:t>
      </w:r>
      <w:r w:rsidRPr="006E1400">
        <w:t xml:space="preserve"> whose discharge assessment indicates one or more new or worsened pressure ulcers compared to the admission assessment. </w:t>
      </w:r>
    </w:p>
    <w:p w14:paraId="605083C8" w14:textId="7CB6C620" w:rsidR="00902DD8" w:rsidRPr="00020DF6" w:rsidRDefault="00902DD8" w:rsidP="00E26F66">
      <w:pPr>
        <w:pStyle w:val="ListContinue"/>
        <w:ind w:left="1350"/>
        <w:rPr>
          <w:szCs w:val="24"/>
        </w:rPr>
      </w:pPr>
      <w:r w:rsidRPr="006E1400">
        <w:t xml:space="preserve">In the IRF setting, calculate the total number of </w:t>
      </w:r>
      <w:r w:rsidR="007D6F51">
        <w:t xml:space="preserve">patient </w:t>
      </w:r>
      <w:r>
        <w:t xml:space="preserve">stays </w:t>
      </w:r>
      <w:r w:rsidRPr="006E1400">
        <w:t xml:space="preserve">whose IRF-PAI assessment indicates one or more new or worsened pressure ulcers at discharge </w:t>
      </w:r>
      <w:r w:rsidRPr="00020DF6">
        <w:rPr>
          <w:szCs w:val="24"/>
        </w:rPr>
        <w:t>compared to admission.</w:t>
      </w:r>
    </w:p>
    <w:p w14:paraId="0BDC6694" w14:textId="77777777" w:rsidR="00902DD8" w:rsidRPr="00020DF6" w:rsidRDefault="00902DD8" w:rsidP="00E26F66">
      <w:pPr>
        <w:pStyle w:val="ListContinue"/>
        <w:ind w:left="1170"/>
        <w:rPr>
          <w:szCs w:val="24"/>
        </w:rPr>
      </w:pPr>
      <w:r w:rsidRPr="00020DF6">
        <w:rPr>
          <w:b/>
          <w:bCs/>
          <w:szCs w:val="24"/>
        </w:rPr>
        <w:t>Step 3.</w:t>
      </w:r>
      <w:r w:rsidRPr="00020DF6">
        <w:rPr>
          <w:szCs w:val="24"/>
        </w:rPr>
        <w:t xml:space="preserve"> Calculate the facility’s observed score: </w:t>
      </w:r>
    </w:p>
    <w:p w14:paraId="2157E3DB" w14:textId="77777777" w:rsidR="00902DD8" w:rsidRPr="00020DF6" w:rsidRDefault="00902DD8" w:rsidP="00E26F66">
      <w:pPr>
        <w:pStyle w:val="ListContinue"/>
        <w:ind w:left="1350"/>
        <w:rPr>
          <w:szCs w:val="24"/>
        </w:rPr>
      </w:pPr>
      <w:r w:rsidRPr="00020DF6">
        <w:rPr>
          <w:szCs w:val="24"/>
        </w:rPr>
        <w:lastRenderedPageBreak/>
        <w:t>Divide the facility’s numerator count by its denominator count to obtain the facility’s observed score; that is, divide the result of step 2 by the result of step 1.</w:t>
      </w:r>
    </w:p>
    <w:p w14:paraId="43CD02DA" w14:textId="5DC600E8" w:rsidR="00902DD8" w:rsidRPr="00020DF6" w:rsidRDefault="00902DD8" w:rsidP="00E26F66">
      <w:pPr>
        <w:pStyle w:val="ListParagraph"/>
        <w:rPr>
          <w:u w:val="single"/>
        </w:rPr>
      </w:pPr>
      <w:r w:rsidRPr="00020DF6">
        <w:rPr>
          <w:u w:val="single"/>
        </w:rPr>
        <w:t xml:space="preserve">B. </w:t>
      </w:r>
      <w:r w:rsidRPr="00020DF6">
        <w:rPr>
          <w:u w:val="single"/>
        </w:rPr>
        <w:tab/>
        <w:t>Calculate the expected score for each patient</w:t>
      </w:r>
      <w:r w:rsidR="007D6F51" w:rsidRPr="00020DF6">
        <w:rPr>
          <w:u w:val="single"/>
        </w:rPr>
        <w:t>/resident</w:t>
      </w:r>
      <w:r w:rsidRPr="00020DF6">
        <w:rPr>
          <w:u w:val="single"/>
        </w:rPr>
        <w:t xml:space="preserve"> (steps 4 and 5)</w:t>
      </w:r>
    </w:p>
    <w:p w14:paraId="2AF34B2D" w14:textId="101DAE9C" w:rsidR="00902DD8" w:rsidRPr="00020DF6" w:rsidRDefault="00902DD8" w:rsidP="00E26F66">
      <w:pPr>
        <w:pStyle w:val="ListContinue"/>
        <w:ind w:left="1170"/>
        <w:rPr>
          <w:szCs w:val="24"/>
        </w:rPr>
      </w:pPr>
      <w:r w:rsidRPr="00020DF6">
        <w:rPr>
          <w:b/>
          <w:bCs/>
          <w:szCs w:val="24"/>
        </w:rPr>
        <w:t>Step 4.</w:t>
      </w:r>
      <w:r w:rsidRPr="00020DF6">
        <w:rPr>
          <w:szCs w:val="24"/>
        </w:rPr>
        <w:t xml:space="preserve"> Determine presence or absence of the pressure ulcer covariates for each patient</w:t>
      </w:r>
      <w:r w:rsidR="007D6F51" w:rsidRPr="00020DF6">
        <w:rPr>
          <w:szCs w:val="24"/>
        </w:rPr>
        <w:t>/resident</w:t>
      </w:r>
      <w:r w:rsidRPr="00020DF6">
        <w:rPr>
          <w:szCs w:val="24"/>
        </w:rPr>
        <w:t xml:space="preserve">: </w:t>
      </w:r>
    </w:p>
    <w:p w14:paraId="5297B8FD" w14:textId="756467D0" w:rsidR="00902DD8" w:rsidRPr="006E1400" w:rsidRDefault="00902DD8" w:rsidP="00E26F66">
      <w:pPr>
        <w:pStyle w:val="ListContinue"/>
        <w:ind w:left="1350"/>
      </w:pPr>
      <w:r w:rsidRPr="00020DF6">
        <w:rPr>
          <w:szCs w:val="24"/>
        </w:rPr>
        <w:t>Assign covariate values, either ‘0’ for covariate condition not present or ‘1’ for covariate condition present, for each patient</w:t>
      </w:r>
      <w:r w:rsidR="007D6F51" w:rsidRPr="00020DF6">
        <w:rPr>
          <w:szCs w:val="24"/>
        </w:rPr>
        <w:t>/resident</w:t>
      </w:r>
      <w:r w:rsidRPr="00020DF6">
        <w:rPr>
          <w:szCs w:val="24"/>
        </w:rPr>
        <w:t xml:space="preserve"> for each of the four covariates as reported on the </w:t>
      </w:r>
      <w:r w:rsidR="00D62426" w:rsidRPr="00020DF6">
        <w:rPr>
          <w:szCs w:val="24"/>
        </w:rPr>
        <w:t>PPS 5-Day assessment</w:t>
      </w:r>
      <w:r w:rsidR="00D62426" w:rsidRPr="00020DF6" w:rsidDel="00D62426">
        <w:rPr>
          <w:szCs w:val="24"/>
        </w:rPr>
        <w:t xml:space="preserve"> </w:t>
      </w:r>
      <w:r w:rsidRPr="00020DF6">
        <w:rPr>
          <w:szCs w:val="24"/>
        </w:rPr>
        <w:t>for the SNF setting or the admission assessment for the LTCH and IRF settings, as described in the section</w:t>
      </w:r>
      <w:r w:rsidRPr="006E1400">
        <w:t xml:space="preserve"> above.</w:t>
      </w:r>
    </w:p>
    <w:p w14:paraId="21A0B23B" w14:textId="33769629" w:rsidR="00902DD8" w:rsidRPr="006E1400" w:rsidRDefault="00902DD8" w:rsidP="00F02C4B">
      <w:pPr>
        <w:pStyle w:val="ListContinue"/>
        <w:ind w:left="1170"/>
      </w:pPr>
      <w:r w:rsidRPr="002564FB">
        <w:rPr>
          <w:b/>
        </w:rPr>
        <w:t>Step 5.</w:t>
      </w:r>
      <w:r w:rsidRPr="006E1400">
        <w:t xml:space="preserve"> Calculate the expected score for each patient</w:t>
      </w:r>
      <w:r w:rsidR="007D6F51">
        <w:t>/resident</w:t>
      </w:r>
      <w:r w:rsidRPr="006E1400">
        <w:t xml:space="preserve"> with the following formula: </w:t>
      </w:r>
    </w:p>
    <w:p w14:paraId="2CE23FA0" w14:textId="676B76D0" w:rsidR="00902DD8" w:rsidRPr="006E1400" w:rsidRDefault="00E26F66" w:rsidP="00E26F66">
      <w:pPr>
        <w:pStyle w:val="equation"/>
      </w:pPr>
      <w:r>
        <w:tab/>
      </w:r>
      <w:r w:rsidR="007D6F51">
        <w:rPr>
          <w:i/>
          <w:iCs/>
        </w:rPr>
        <w:t>P</w:t>
      </w:r>
      <w:r w:rsidR="00902DD8" w:rsidRPr="00E26F66">
        <w:rPr>
          <w:i/>
          <w:iCs/>
        </w:rPr>
        <w:t>atient</w:t>
      </w:r>
      <w:r w:rsidR="007D6F51">
        <w:rPr>
          <w:i/>
          <w:iCs/>
        </w:rPr>
        <w:t>/resident</w:t>
      </w:r>
      <w:r w:rsidR="00902DD8" w:rsidRPr="00E26F66">
        <w:rPr>
          <w:i/>
          <w:iCs/>
        </w:rPr>
        <w:t>-level expected QM score = 1/ [1+e</w:t>
      </w:r>
      <w:r w:rsidR="00902DD8" w:rsidRPr="00E26F66">
        <w:rPr>
          <w:i/>
          <w:iCs/>
          <w:vertAlign w:val="superscript"/>
        </w:rPr>
        <w:t>-x</w:t>
      </w:r>
      <w:r w:rsidR="00902DD8" w:rsidRPr="00E26F66">
        <w:rPr>
          <w:i/>
          <w:iCs/>
        </w:rPr>
        <w:t>]</w:t>
      </w:r>
      <w:r w:rsidR="00902DD8" w:rsidRPr="006E1400">
        <w:t xml:space="preserve"> </w:t>
      </w:r>
      <w:r>
        <w:tab/>
        <w:t>(1)</w:t>
      </w:r>
    </w:p>
    <w:p w14:paraId="7EAFADD2" w14:textId="77777777" w:rsidR="00902DD8" w:rsidRPr="006E1400" w:rsidRDefault="00902DD8" w:rsidP="00E26F66">
      <w:pPr>
        <w:pStyle w:val="ListContinue"/>
        <w:ind w:left="1170"/>
      </w:pPr>
      <w:r w:rsidRPr="006E1400">
        <w:t xml:space="preserve">Where </w:t>
      </w:r>
      <w:r w:rsidRPr="00A07199">
        <w:rPr>
          <w:i/>
        </w:rPr>
        <w:t>e</w:t>
      </w:r>
      <w:r w:rsidRPr="006E1400">
        <w:t xml:space="preserve"> is the base of natural logarithms and </w:t>
      </w:r>
      <w:r w:rsidRPr="00A07199">
        <w:rPr>
          <w:i/>
        </w:rPr>
        <w:t>X</w:t>
      </w:r>
      <w:r w:rsidRPr="006E1400">
        <w:t xml:space="preserve"> is a linear combination of the constant and the logistic regression coefficients times the covariate scores (from Formula [2], below). </w:t>
      </w:r>
    </w:p>
    <w:p w14:paraId="34AC432E" w14:textId="08B8668F" w:rsidR="00902DD8" w:rsidRPr="00832677" w:rsidRDefault="00E26F66" w:rsidP="00E26F66">
      <w:pPr>
        <w:pStyle w:val="equation"/>
      </w:pPr>
      <w:r>
        <w:tab/>
      </w:r>
      <w:r w:rsidR="00902DD8" w:rsidRPr="00E26F66">
        <w:rPr>
          <w:i/>
          <w:iCs/>
        </w:rPr>
        <w:t>QM triggered (yes=1, no=0) = B0 + B1*COVA + B2*COVB + … BN*COVN</w:t>
      </w:r>
      <w:r w:rsidRPr="00E26F66">
        <w:rPr>
          <w:i/>
          <w:iCs/>
        </w:rPr>
        <w:tab/>
      </w:r>
      <w:r>
        <w:t>(2)</w:t>
      </w:r>
    </w:p>
    <w:p w14:paraId="4F9A1925" w14:textId="18D99B20" w:rsidR="00902DD8" w:rsidRPr="006E1400" w:rsidRDefault="00902DD8" w:rsidP="00E26F66">
      <w:pPr>
        <w:pStyle w:val="ListContinue"/>
        <w:ind w:left="1170"/>
      </w:pPr>
      <w:r w:rsidRPr="006E1400">
        <w:t xml:space="preserve">Where </w:t>
      </w:r>
      <w:r w:rsidRPr="00A07199">
        <w:rPr>
          <w:i/>
        </w:rPr>
        <w:t>B0</w:t>
      </w:r>
      <w:r w:rsidRPr="006E1400">
        <w:t xml:space="preserve"> is the logistic regression constant, </w:t>
      </w:r>
      <w:r w:rsidRPr="00A07199">
        <w:rPr>
          <w:i/>
        </w:rPr>
        <w:t>B1</w:t>
      </w:r>
      <w:r w:rsidRPr="006E1400">
        <w:t xml:space="preserve"> is the logistic regression coefficient for the first covariate (where applicable), </w:t>
      </w:r>
      <w:r w:rsidRPr="00A07199">
        <w:rPr>
          <w:i/>
        </w:rPr>
        <w:t>COVA</w:t>
      </w:r>
      <w:r w:rsidRPr="006E1400">
        <w:t xml:space="preserve"> is the patient</w:t>
      </w:r>
      <w:r w:rsidR="00CD37AC">
        <w:t>-/resident</w:t>
      </w:r>
      <w:r w:rsidRPr="006E1400">
        <w:t xml:space="preserve">-level score for the first covariate, </w:t>
      </w:r>
      <w:r w:rsidRPr="00A07199">
        <w:rPr>
          <w:i/>
        </w:rPr>
        <w:t>B2</w:t>
      </w:r>
      <w:r w:rsidRPr="006E1400">
        <w:t xml:space="preserve"> is the logistic regression coefficient for the second covariate, and </w:t>
      </w:r>
      <w:r w:rsidRPr="00A07199">
        <w:rPr>
          <w:i/>
        </w:rPr>
        <w:t>COVB</w:t>
      </w:r>
      <w:r w:rsidRPr="006E1400">
        <w:t xml:space="preserve"> is the patient</w:t>
      </w:r>
      <w:r w:rsidR="00CD37AC">
        <w:t>/resident</w:t>
      </w:r>
      <w:r w:rsidRPr="006E1400">
        <w:t xml:space="preserve"> level score for the second covariate (where applicable), etc. The regression constant and regression coefficients* are numbers obtained through statistical logistic regression analysis. </w:t>
      </w:r>
    </w:p>
    <w:p w14:paraId="65C38DAF" w14:textId="77777777" w:rsidR="00902DD8" w:rsidRPr="00832677" w:rsidRDefault="00902DD8" w:rsidP="00E26F66">
      <w:pPr>
        <w:pStyle w:val="ListContinue"/>
        <w:ind w:left="1170"/>
      </w:pPr>
      <w:r w:rsidRPr="00832677">
        <w:t>* Regression coefficients and constants are calculated separately for each facility type (SNF, LTCH, and IRF) and are updated each reporting period.</w:t>
      </w:r>
    </w:p>
    <w:p w14:paraId="1A1F6C56" w14:textId="6EF20E7F" w:rsidR="00902DD8" w:rsidRPr="00FE1B52" w:rsidRDefault="00902DD8" w:rsidP="00E26F66">
      <w:pPr>
        <w:pStyle w:val="ListParagraph"/>
        <w:rPr>
          <w:u w:val="single"/>
        </w:rPr>
      </w:pPr>
      <w:r w:rsidRPr="00FE1B52">
        <w:rPr>
          <w:u w:val="single"/>
        </w:rPr>
        <w:t>C.</w:t>
      </w:r>
      <w:r w:rsidR="00E26F66">
        <w:rPr>
          <w:u w:val="single"/>
        </w:rPr>
        <w:tab/>
      </w:r>
      <w:r w:rsidRPr="00FE1B52">
        <w:rPr>
          <w:u w:val="single"/>
        </w:rPr>
        <w:t>Calculate the facility expected score (step 6)</w:t>
      </w:r>
    </w:p>
    <w:p w14:paraId="428BD916" w14:textId="77777777" w:rsidR="00902DD8" w:rsidRDefault="00902DD8" w:rsidP="00E26F66">
      <w:pPr>
        <w:pStyle w:val="ListContinue"/>
        <w:ind w:left="1170"/>
      </w:pPr>
      <w:r w:rsidRPr="002564FB">
        <w:rPr>
          <w:b/>
        </w:rPr>
        <w:t>Step 6.</w:t>
      </w:r>
      <w:r w:rsidRPr="006E1400">
        <w:t xml:space="preserve"> Once an expected QM score has been calculated for all residents for the </w:t>
      </w:r>
      <w:r>
        <w:t>SNF</w:t>
      </w:r>
      <w:r w:rsidRPr="006E1400">
        <w:t xml:space="preserve"> setting or all patient stays for the LTCH and IRF settings, calculate the </w:t>
      </w:r>
      <w:r>
        <w:t xml:space="preserve">mean </w:t>
      </w:r>
      <w:r w:rsidRPr="006E1400">
        <w:t>facility-level expected QM score by averaging all resident/patient-level expected scores.</w:t>
      </w:r>
    </w:p>
    <w:p w14:paraId="0A140387" w14:textId="106AB08C" w:rsidR="00902DD8" w:rsidRPr="00E26F66" w:rsidRDefault="00902DD8" w:rsidP="00E26F66">
      <w:pPr>
        <w:pStyle w:val="ListParagraph"/>
        <w:rPr>
          <w:u w:val="single"/>
        </w:rPr>
      </w:pPr>
      <w:r w:rsidRPr="00E26F66">
        <w:rPr>
          <w:u w:val="single"/>
        </w:rPr>
        <w:t xml:space="preserve">D. </w:t>
      </w:r>
      <w:r w:rsidR="00E26F66">
        <w:rPr>
          <w:u w:val="single"/>
        </w:rPr>
        <w:tab/>
      </w:r>
      <w:r w:rsidRPr="00E26F66">
        <w:rPr>
          <w:u w:val="single"/>
        </w:rPr>
        <w:t>Calculate national mean QM score (steps 7 through 9)</w:t>
      </w:r>
    </w:p>
    <w:p w14:paraId="3CD8000D" w14:textId="271FCDAC" w:rsidR="00902DD8" w:rsidRDefault="00902DD8" w:rsidP="00C42C98">
      <w:pPr>
        <w:pStyle w:val="ListContinue"/>
        <w:ind w:left="1170"/>
      </w:pPr>
      <w:r w:rsidRPr="00C42C98">
        <w:rPr>
          <w:b/>
          <w:bCs/>
        </w:rPr>
        <w:t>Step 7</w:t>
      </w:r>
      <w:r w:rsidR="00C42C98">
        <w:rPr>
          <w:b/>
          <w:bCs/>
        </w:rPr>
        <w:t>.</w:t>
      </w:r>
      <w:r w:rsidRPr="006E1400">
        <w:t xml:space="preserve"> Calculate the </w:t>
      </w:r>
      <w:r w:rsidRPr="002B18D5">
        <w:t>denominator</w:t>
      </w:r>
      <w:r w:rsidRPr="006E1400">
        <w:t xml:space="preserve"> count</w:t>
      </w:r>
      <w:r>
        <w:t xml:space="preserve">: </w:t>
      </w:r>
    </w:p>
    <w:p w14:paraId="4586BA6E" w14:textId="51690FE7" w:rsidR="00902DD8" w:rsidRDefault="00902DD8" w:rsidP="00E26F66">
      <w:pPr>
        <w:pStyle w:val="ListContinue"/>
        <w:ind w:left="1350"/>
      </w:pPr>
      <w:r w:rsidRPr="00AF5E72">
        <w:t xml:space="preserve">Calculate the total number of </w:t>
      </w:r>
      <w:r w:rsidR="00CD37AC" w:rsidRPr="00AF5E72">
        <w:t>patient</w:t>
      </w:r>
      <w:r w:rsidR="000D234F">
        <w:t xml:space="preserve"> stays</w:t>
      </w:r>
      <w:r w:rsidR="00CD37AC" w:rsidRPr="00AF5E72">
        <w:t>/</w:t>
      </w:r>
      <w:r w:rsidRPr="00AF5E72">
        <w:t>resident</w:t>
      </w:r>
      <w:r w:rsidR="000D234F">
        <w:t xml:space="preserve"> </w:t>
      </w:r>
      <w:r w:rsidRPr="00AF5E72">
        <w:t xml:space="preserve">retained after exclusions and sum </w:t>
      </w:r>
      <w:r w:rsidR="00AF5E72">
        <w:t>to derive denominator count</w:t>
      </w:r>
      <w:r>
        <w:t>.</w:t>
      </w:r>
      <w:r w:rsidRPr="00E54934" w:rsidDel="0024703E">
        <w:t xml:space="preserve"> </w:t>
      </w:r>
    </w:p>
    <w:p w14:paraId="5CAAE148" w14:textId="5829E2B9" w:rsidR="00902DD8" w:rsidRDefault="00902DD8" w:rsidP="00C42C98">
      <w:pPr>
        <w:pStyle w:val="ListContinue"/>
        <w:ind w:left="1170"/>
      </w:pPr>
      <w:r w:rsidRPr="00C42C98">
        <w:rPr>
          <w:b/>
          <w:bCs/>
        </w:rPr>
        <w:lastRenderedPageBreak/>
        <w:t>Step 8</w:t>
      </w:r>
      <w:r w:rsidR="00C42C98">
        <w:rPr>
          <w:b/>
          <w:bCs/>
        </w:rPr>
        <w:t>.</w:t>
      </w:r>
      <w:r>
        <w:t xml:space="preserve"> Calculate the numerator count: </w:t>
      </w:r>
    </w:p>
    <w:p w14:paraId="22916066" w14:textId="29E77076" w:rsidR="00902DD8" w:rsidRDefault="00902DD8" w:rsidP="00E26F66">
      <w:pPr>
        <w:pStyle w:val="ListContinue"/>
        <w:ind w:left="1350"/>
      </w:pPr>
      <w:r>
        <w:t xml:space="preserve">Calculate the total number or </w:t>
      </w:r>
      <w:r w:rsidR="009F503F">
        <w:t>patient</w:t>
      </w:r>
      <w:r w:rsidR="000D234F">
        <w:t xml:space="preserve"> </w:t>
      </w:r>
      <w:r w:rsidR="009F503F">
        <w:t>s</w:t>
      </w:r>
      <w:r w:rsidR="000D234F">
        <w:t>tays</w:t>
      </w:r>
      <w:r w:rsidR="009F503F">
        <w:t>/</w:t>
      </w:r>
      <w:r>
        <w:t>residents that triggered the QM and sum</w:t>
      </w:r>
      <w:r w:rsidR="00AF5E72">
        <w:t xml:space="preserve"> to derive numerator count</w:t>
      </w:r>
      <w:r>
        <w:t>.</w:t>
      </w:r>
    </w:p>
    <w:p w14:paraId="3E2BE958" w14:textId="409CBF91" w:rsidR="00902DD8" w:rsidRDefault="00902DD8" w:rsidP="00C42C98">
      <w:pPr>
        <w:pStyle w:val="ListContinue"/>
        <w:ind w:left="1170"/>
      </w:pPr>
      <w:r w:rsidRPr="00C42C98">
        <w:rPr>
          <w:b/>
          <w:bCs/>
        </w:rPr>
        <w:t>Step 9</w:t>
      </w:r>
      <w:r w:rsidR="00C42C98">
        <w:rPr>
          <w:b/>
          <w:bCs/>
        </w:rPr>
        <w:t>.</w:t>
      </w:r>
      <w:r>
        <w:t xml:space="preserve"> </w:t>
      </w:r>
      <w:r w:rsidRPr="00832677">
        <w:t xml:space="preserve">Calculate national mean observed QM score: </w:t>
      </w:r>
    </w:p>
    <w:p w14:paraId="35A3A8F7" w14:textId="388B4B45" w:rsidR="00902DD8" w:rsidRPr="00832677" w:rsidRDefault="00902DD8" w:rsidP="00E26F66">
      <w:pPr>
        <w:pStyle w:val="ListContinue"/>
        <w:ind w:left="1350"/>
      </w:pPr>
      <w:r w:rsidRPr="00832677">
        <w:t xml:space="preserve">Divide the numerator count by its denominator count to obtain the </w:t>
      </w:r>
      <w:r w:rsidRPr="00AF5E72">
        <w:t>nation</w:t>
      </w:r>
      <w:r w:rsidR="00AF5E72">
        <w:t>al</w:t>
      </w:r>
      <w:r w:rsidRPr="00AF5E72">
        <w:t xml:space="preserve"> </w:t>
      </w:r>
      <w:r w:rsidR="00AF5E72">
        <w:t xml:space="preserve">mean </w:t>
      </w:r>
      <w:r w:rsidRPr="00AF5E72">
        <w:t>observed score</w:t>
      </w:r>
      <w:r w:rsidRPr="00832677">
        <w:t xml:space="preserve">; that is, divide the result of step </w:t>
      </w:r>
      <w:r w:rsidR="00AF5E72">
        <w:t>8</w:t>
      </w:r>
      <w:r w:rsidRPr="00832677">
        <w:t xml:space="preserve"> by the result of step </w:t>
      </w:r>
      <w:r w:rsidR="00AF5E72">
        <w:t>7</w:t>
      </w:r>
      <w:r w:rsidRPr="00832677">
        <w:t>.</w:t>
      </w:r>
    </w:p>
    <w:p w14:paraId="29645CEE" w14:textId="77777777" w:rsidR="00902DD8" w:rsidRPr="006E1400" w:rsidRDefault="00902DD8" w:rsidP="00E26F66">
      <w:pPr>
        <w:pStyle w:val="ListParagraph"/>
        <w:rPr>
          <w:u w:val="single"/>
        </w:rPr>
      </w:pPr>
      <w:r>
        <w:rPr>
          <w:u w:val="single"/>
        </w:rPr>
        <w:t>E</w:t>
      </w:r>
      <w:r w:rsidRPr="006E1400">
        <w:rPr>
          <w:u w:val="single"/>
        </w:rPr>
        <w:t xml:space="preserve">. </w:t>
      </w:r>
      <w:r>
        <w:rPr>
          <w:u w:val="single"/>
        </w:rPr>
        <w:tab/>
      </w:r>
      <w:r w:rsidRPr="006E1400">
        <w:rPr>
          <w:u w:val="single"/>
        </w:rPr>
        <w:t xml:space="preserve">Calculate the facility-level adjusted score (step </w:t>
      </w:r>
      <w:r>
        <w:rPr>
          <w:u w:val="single"/>
        </w:rPr>
        <w:t>10</w:t>
      </w:r>
      <w:r w:rsidRPr="006E1400">
        <w:rPr>
          <w:u w:val="single"/>
        </w:rPr>
        <w:t xml:space="preserve">) </w:t>
      </w:r>
    </w:p>
    <w:p w14:paraId="0A4DEDD5" w14:textId="77777777" w:rsidR="00902DD8" w:rsidRPr="006E1400" w:rsidRDefault="00902DD8" w:rsidP="00E26F66">
      <w:pPr>
        <w:pStyle w:val="ListContinue"/>
        <w:ind w:left="1170"/>
      </w:pPr>
      <w:r w:rsidRPr="00C42C98">
        <w:rPr>
          <w:b/>
          <w:bCs/>
        </w:rPr>
        <w:t>Step 10.</w:t>
      </w:r>
      <w:r w:rsidRPr="006E1400">
        <w:t xml:space="preserve"> Calculate the facility-level adjusted score based on the:</w:t>
      </w:r>
    </w:p>
    <w:p w14:paraId="6AA9AFE9" w14:textId="77777777" w:rsidR="00902DD8" w:rsidRPr="006E1400" w:rsidRDefault="00902DD8" w:rsidP="00E26F66">
      <w:pPr>
        <w:pStyle w:val="ListContinue"/>
        <w:ind w:left="1350"/>
      </w:pPr>
      <w:r w:rsidRPr="006E1400">
        <w:t xml:space="preserve">facility-level observed QM score (step 3), </w:t>
      </w:r>
    </w:p>
    <w:p w14:paraId="0ACE6BF1" w14:textId="77777777" w:rsidR="00902DD8" w:rsidRPr="006E1400" w:rsidRDefault="00902DD8" w:rsidP="00E26F66">
      <w:pPr>
        <w:pStyle w:val="ListContinue"/>
        <w:ind w:left="1350"/>
      </w:pPr>
      <w:r w:rsidRPr="006E1400">
        <w:t xml:space="preserve">facility-level average expected QM score (step 6), and </w:t>
      </w:r>
    </w:p>
    <w:p w14:paraId="2C0FBE6A" w14:textId="110C3067" w:rsidR="00902DD8" w:rsidRPr="006E1400" w:rsidRDefault="00902DD8" w:rsidP="00E26F66">
      <w:pPr>
        <w:pStyle w:val="ListContinue"/>
        <w:ind w:left="1350"/>
      </w:pPr>
      <w:r w:rsidRPr="006E1400">
        <w:t xml:space="preserve">*national </w:t>
      </w:r>
      <w:r w:rsidR="00AF5E72">
        <w:t>mean</w:t>
      </w:r>
      <w:r w:rsidRPr="006E1400">
        <w:t xml:space="preserve"> observed QM score</w:t>
      </w:r>
      <w:r>
        <w:t xml:space="preserve"> (step 9)</w:t>
      </w:r>
      <w:r w:rsidRPr="006E1400">
        <w:t xml:space="preserve">. </w:t>
      </w:r>
    </w:p>
    <w:p w14:paraId="7308B562" w14:textId="52081D49" w:rsidR="00902DD8" w:rsidRPr="006E1400" w:rsidRDefault="00902DD8" w:rsidP="00E26F66">
      <w:pPr>
        <w:pStyle w:val="ListContinue"/>
        <w:ind w:left="1170"/>
        <w:rPr>
          <w:i/>
        </w:rPr>
      </w:pPr>
      <w:r w:rsidRPr="006E1400">
        <w:rPr>
          <w:i/>
          <w:sz w:val="23"/>
          <w:szCs w:val="23"/>
        </w:rPr>
        <w:t xml:space="preserve">*The national </w:t>
      </w:r>
      <w:r w:rsidR="00AF5E72">
        <w:rPr>
          <w:i/>
          <w:sz w:val="23"/>
          <w:szCs w:val="23"/>
        </w:rPr>
        <w:t xml:space="preserve">mean </w:t>
      </w:r>
      <w:r w:rsidRPr="006E1400">
        <w:rPr>
          <w:i/>
          <w:sz w:val="23"/>
          <w:szCs w:val="23"/>
        </w:rPr>
        <w:t xml:space="preserve">observed QM </w:t>
      </w:r>
      <w:r w:rsidR="00AF5E72">
        <w:rPr>
          <w:i/>
          <w:sz w:val="23"/>
          <w:szCs w:val="23"/>
        </w:rPr>
        <w:t>score is</w:t>
      </w:r>
      <w:r w:rsidRPr="006E1400">
        <w:rPr>
          <w:i/>
          <w:sz w:val="23"/>
          <w:szCs w:val="23"/>
        </w:rPr>
        <w:t xml:space="preserve"> updated </w:t>
      </w:r>
      <w:r w:rsidRPr="006E1400">
        <w:rPr>
          <w:i/>
        </w:rPr>
        <w:t xml:space="preserve">separately for each facility type (SNF, LTCH, and IRF) </w:t>
      </w:r>
      <w:r w:rsidR="00AF5E72">
        <w:rPr>
          <w:i/>
        </w:rPr>
        <w:t xml:space="preserve">for </w:t>
      </w:r>
      <w:r w:rsidRPr="006E1400">
        <w:rPr>
          <w:i/>
        </w:rPr>
        <w:t>each reporting period.</w:t>
      </w:r>
    </w:p>
    <w:p w14:paraId="30235861" w14:textId="77777777" w:rsidR="00902DD8" w:rsidRPr="006E1400" w:rsidRDefault="00902DD8" w:rsidP="00E26F66">
      <w:pPr>
        <w:pStyle w:val="ListContinue"/>
        <w:ind w:left="1170"/>
      </w:pPr>
      <w:r w:rsidRPr="006E1400">
        <w:t xml:space="preserve">The calculation of the adjusted score uses the following equation: </w:t>
      </w:r>
    </w:p>
    <w:p w14:paraId="57024ABE" w14:textId="235FDC08" w:rsidR="00902DD8" w:rsidRPr="006E1400" w:rsidRDefault="00E26F66" w:rsidP="00E26F66">
      <w:pPr>
        <w:pStyle w:val="equation"/>
      </w:pPr>
      <w:r>
        <w:tab/>
      </w:r>
      <w:r w:rsidR="00902DD8" w:rsidRPr="0061704D">
        <w:rPr>
          <w:i/>
          <w:iCs/>
        </w:rPr>
        <w:t>Adj = 1/ [1 + e</w:t>
      </w:r>
      <w:r w:rsidR="00902DD8" w:rsidRPr="0061704D">
        <w:rPr>
          <w:i/>
          <w:iCs/>
          <w:vertAlign w:val="superscript"/>
        </w:rPr>
        <w:t>-y</w:t>
      </w:r>
      <w:r w:rsidR="00902DD8" w:rsidRPr="0061704D">
        <w:rPr>
          <w:i/>
          <w:iCs/>
        </w:rPr>
        <w:t>]</w:t>
      </w:r>
      <w:r w:rsidR="00902DD8" w:rsidRPr="006E1400">
        <w:t xml:space="preserve"> </w:t>
      </w:r>
      <w:r>
        <w:tab/>
        <w:t>(3)</w:t>
      </w:r>
    </w:p>
    <w:p w14:paraId="0DFA3C22" w14:textId="77777777" w:rsidR="00902DD8" w:rsidRPr="006E1400" w:rsidRDefault="00902DD8" w:rsidP="00E26F66">
      <w:pPr>
        <w:pStyle w:val="ListContinue"/>
        <w:keepNext/>
      </w:pPr>
      <w:r w:rsidRPr="006E1400">
        <w:t xml:space="preserve">where </w:t>
      </w:r>
    </w:p>
    <w:p w14:paraId="53E1A769" w14:textId="77777777" w:rsidR="00902DD8" w:rsidRPr="006E1400" w:rsidRDefault="00902DD8" w:rsidP="00E26F66">
      <w:pPr>
        <w:pStyle w:val="ListContinue"/>
        <w:ind w:left="900"/>
      </w:pPr>
      <w:r w:rsidRPr="006E1400">
        <w:t xml:space="preserve">Adj is the facility-level adjusted QM score, and </w:t>
      </w:r>
    </w:p>
    <w:p w14:paraId="12E056CA" w14:textId="77777777" w:rsidR="00902DD8" w:rsidRPr="006E1400" w:rsidRDefault="00902DD8" w:rsidP="00E26F66">
      <w:pPr>
        <w:pStyle w:val="ListContinue"/>
        <w:ind w:left="900"/>
      </w:pPr>
      <w:r w:rsidRPr="001218BF">
        <w:t>y</w:t>
      </w:r>
      <w:r w:rsidRPr="006E1400">
        <w:t xml:space="preserve"> = (Ln(Obs/(1–Obs)) - Ln(Exp/(1–Exp)) + Ln(Nat/(1–Nat))) </w:t>
      </w:r>
    </w:p>
    <w:p w14:paraId="436E4F96" w14:textId="77777777" w:rsidR="00902DD8" w:rsidRPr="006E1400" w:rsidRDefault="00902DD8" w:rsidP="00E26F66">
      <w:pPr>
        <w:pStyle w:val="ListContinue"/>
        <w:ind w:left="900"/>
      </w:pPr>
      <w:r w:rsidRPr="006E1400">
        <w:t xml:space="preserve">Obs is the facility-level observed QM rate, </w:t>
      </w:r>
    </w:p>
    <w:p w14:paraId="79EFFCEA" w14:textId="77777777" w:rsidR="00902DD8" w:rsidRPr="006E1400" w:rsidRDefault="00902DD8" w:rsidP="00E26F66">
      <w:pPr>
        <w:pStyle w:val="ListContinue"/>
        <w:ind w:left="900"/>
      </w:pPr>
      <w:r w:rsidRPr="006E1400">
        <w:t xml:space="preserve">Exp is the facility-level expected QM rate, </w:t>
      </w:r>
    </w:p>
    <w:p w14:paraId="06C68B88" w14:textId="77777777" w:rsidR="00902DD8" w:rsidRPr="006E1400" w:rsidRDefault="00902DD8" w:rsidP="00E26F66">
      <w:pPr>
        <w:pStyle w:val="ListContinue"/>
        <w:ind w:left="900"/>
      </w:pPr>
      <w:r w:rsidRPr="006E1400">
        <w:t>Nat is the national observed QM rate</w:t>
      </w:r>
      <w:r>
        <w:t>,</w:t>
      </w:r>
      <w:r w:rsidRPr="006E1400">
        <w:t xml:space="preserve"> </w:t>
      </w:r>
    </w:p>
    <w:p w14:paraId="09E390E3" w14:textId="77777777" w:rsidR="00902DD8" w:rsidRPr="006E1400" w:rsidRDefault="00902DD8" w:rsidP="00E26F66">
      <w:pPr>
        <w:pStyle w:val="ListContinue"/>
        <w:ind w:left="900"/>
      </w:pPr>
      <w:r w:rsidRPr="006E1400">
        <w:t>Ln indicates a natural logarithm</w:t>
      </w:r>
      <w:r>
        <w:t>, and</w:t>
      </w:r>
      <w:r w:rsidRPr="006E1400">
        <w:t xml:space="preserve"> </w:t>
      </w:r>
    </w:p>
    <w:p w14:paraId="0C63AD24" w14:textId="3850F9FA" w:rsidR="005206C7" w:rsidRDefault="00902DD8" w:rsidP="00E26F66">
      <w:pPr>
        <w:pStyle w:val="ListContinue"/>
        <w:ind w:left="900"/>
      </w:pPr>
      <w:r w:rsidRPr="001218BF">
        <w:t>e</w:t>
      </w:r>
      <w:r w:rsidRPr="006E1400">
        <w:t xml:space="preserve"> is the base of natural logarithm</w:t>
      </w:r>
      <w:r>
        <w:t>.</w:t>
      </w:r>
    </w:p>
    <w:p w14:paraId="6C1E39CA" w14:textId="25E8A3FF" w:rsidR="00C6082B" w:rsidRPr="00C6082B" w:rsidRDefault="00C6082B" w:rsidP="00037775"/>
    <w:sectPr w:rsidR="00C6082B" w:rsidRPr="00C6082B" w:rsidSect="00622965">
      <w:headerReference w:type="default" r:id="rId18"/>
      <w:footerReference w:type="default" r:id="rId19"/>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0D5B0" w14:textId="77777777" w:rsidR="00821D42" w:rsidRDefault="00821D42">
      <w:r>
        <w:separator/>
      </w:r>
    </w:p>
  </w:endnote>
  <w:endnote w:type="continuationSeparator" w:id="0">
    <w:p w14:paraId="6CEE3058" w14:textId="77777777" w:rsidR="00821D42" w:rsidRDefault="0082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9505A" w14:textId="77777777" w:rsidR="00821D42" w:rsidRDefault="00821D42" w:rsidP="004F490F">
    <w:pPr>
      <w:pStyle w:val="Footer"/>
      <w:jc w:val="right"/>
    </w:pPr>
    <w:r>
      <w:rPr>
        <w:noProof/>
      </w:rPr>
      <w:drawing>
        <wp:inline distT="0" distB="0" distL="0" distR="0" wp14:anchorId="0D0A04A0" wp14:editId="54601310">
          <wp:extent cx="1104900" cy="441960"/>
          <wp:effectExtent l="0" t="0" r="0" b="0"/>
          <wp:docPr id="1" name="Picture 1"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419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4B63E" w14:textId="77777777" w:rsidR="00821D42" w:rsidRDefault="00821D42" w:rsidP="001E579D">
    <w:pPr>
      <w:pStyle w:val="Footer"/>
      <w:jc w:val="right"/>
    </w:pPr>
    <w:r>
      <w:rPr>
        <w:noProof/>
      </w:rPr>
      <w:drawing>
        <wp:anchor distT="0" distB="0" distL="114300" distR="114300" simplePos="0" relativeHeight="251659264" behindDoc="0" locked="0" layoutInCell="1" allowOverlap="1" wp14:anchorId="04C83BB6" wp14:editId="10A76201">
          <wp:simplePos x="0" y="0"/>
          <wp:positionH relativeFrom="column">
            <wp:posOffset>4876511</wp:posOffset>
          </wp:positionH>
          <wp:positionV relativeFrom="paragraph">
            <wp:posOffset>-718243</wp:posOffset>
          </wp:positionV>
          <wp:extent cx="1104900" cy="44196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44196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52043" w14:textId="77777777" w:rsidR="00821D42" w:rsidRPr="00B810E0" w:rsidRDefault="00821D42" w:rsidP="00B810E0">
    <w:pPr>
      <w:spacing w:line="240" w:lineRule="exact"/>
      <w:rPr>
        <w:sz w:val="18"/>
        <w:szCs w:val="18"/>
      </w:rPr>
    </w:pPr>
    <w:r w:rsidRPr="00A31EC9">
      <w:rPr>
        <w:sz w:val="18"/>
        <w:szCs w:val="18"/>
      </w:rPr>
      <w:t>_________________________________</w:t>
    </w:r>
    <w:r w:rsidRPr="00A31EC9">
      <w:rPr>
        <w:sz w:val="18"/>
        <w:szCs w:val="18"/>
      </w:rPr>
      <w:br/>
      <w:t>RTI International is a trade name of Research Triangle Institute</w:t>
    </w:r>
    <w:r>
      <w:rPr>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FD234" w14:textId="08302118" w:rsidR="00821D42" w:rsidRPr="00760CE6" w:rsidRDefault="00821D42" w:rsidP="003778C9">
    <w:pPr>
      <w:jc w:val="center"/>
    </w:pPr>
    <w:r>
      <w:rPr>
        <w:rStyle w:val="PageNumber"/>
      </w:rPr>
      <w:fldChar w:fldCharType="begin"/>
    </w:r>
    <w:r>
      <w:rPr>
        <w:rStyle w:val="PageNumber"/>
      </w:rPr>
      <w:instrText xml:space="preserve"> PAGE </w:instrText>
    </w:r>
    <w:r>
      <w:rPr>
        <w:rStyle w:val="PageNumber"/>
      </w:rPr>
      <w:fldChar w:fldCharType="separate"/>
    </w:r>
    <w:r w:rsidR="00E04E05">
      <w:rPr>
        <w:rStyle w:val="PageNumber"/>
        <w:noProof/>
      </w:rPr>
      <w:t>iii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728BB" w14:textId="3470FF27" w:rsidR="00821D42" w:rsidRPr="00760CE6" w:rsidRDefault="00821D42" w:rsidP="003778C9">
    <w:pPr>
      <w:jc w:val="center"/>
    </w:pPr>
    <w:r>
      <w:rPr>
        <w:rStyle w:val="PageNumber"/>
      </w:rPr>
      <w:fldChar w:fldCharType="begin"/>
    </w:r>
    <w:r>
      <w:rPr>
        <w:rStyle w:val="PageNumber"/>
      </w:rPr>
      <w:instrText xml:space="preserve"> PAGE </w:instrText>
    </w:r>
    <w:r>
      <w:rPr>
        <w:rStyle w:val="PageNumber"/>
      </w:rPr>
      <w:fldChar w:fldCharType="separate"/>
    </w:r>
    <w:r w:rsidR="00E04E05">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66231" w14:textId="6A993F33" w:rsidR="00821D42" w:rsidRDefault="00821D42" w:rsidP="003778C9">
    <w:pPr>
      <w:jc w:val="center"/>
    </w:pPr>
    <w:r>
      <w:rPr>
        <w:rStyle w:val="PageNumber"/>
      </w:rPr>
      <w:fldChar w:fldCharType="begin"/>
    </w:r>
    <w:r>
      <w:rPr>
        <w:rStyle w:val="PageNumber"/>
      </w:rPr>
      <w:instrText xml:space="preserve"> PAGE </w:instrText>
    </w:r>
    <w:r>
      <w:rPr>
        <w:rStyle w:val="PageNumber"/>
      </w:rPr>
      <w:fldChar w:fldCharType="separate"/>
    </w:r>
    <w:r w:rsidR="00E04E0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7CD40" w14:textId="77777777" w:rsidR="00821D42" w:rsidRDefault="00821D42">
      <w:r>
        <w:separator/>
      </w:r>
    </w:p>
  </w:footnote>
  <w:footnote w:type="continuationSeparator" w:id="0">
    <w:p w14:paraId="7DD8A759" w14:textId="77777777" w:rsidR="00821D42" w:rsidRDefault="00821D42">
      <w:r>
        <w:continuationSeparator/>
      </w:r>
    </w:p>
  </w:footnote>
  <w:footnote w:id="1">
    <w:p w14:paraId="7E6A058C" w14:textId="77777777" w:rsidR="00821D42" w:rsidRDefault="00821D42" w:rsidP="00902DD8">
      <w:pPr>
        <w:pStyle w:val="FootnoteText"/>
      </w:pPr>
      <w:r w:rsidRPr="000A566A">
        <w:rPr>
          <w:rStyle w:val="FootnoteReference"/>
          <w:color w:val="auto"/>
          <w:sz w:val="20"/>
        </w:rPr>
        <w:footnoteRef/>
      </w:r>
      <w:r>
        <w:t xml:space="preserve"> </w:t>
      </w:r>
      <w:r>
        <w:tab/>
        <w:t>Casey, G. (2013). "Pressure ulcers reflect quality of nursing care." Nurs N Z 19(10): 20-24.</w:t>
      </w:r>
    </w:p>
  </w:footnote>
  <w:footnote w:id="2">
    <w:p w14:paraId="4463C4DE" w14:textId="77777777" w:rsidR="00821D42" w:rsidRDefault="00821D42" w:rsidP="00902DD8">
      <w:pPr>
        <w:pStyle w:val="FootnoteText"/>
      </w:pPr>
      <w:r w:rsidRPr="000A566A">
        <w:rPr>
          <w:rStyle w:val="FootnoteReference"/>
          <w:color w:val="auto"/>
          <w:sz w:val="20"/>
        </w:rPr>
        <w:footnoteRef/>
      </w:r>
      <w:r>
        <w:t xml:space="preserve"> </w:t>
      </w:r>
      <w:r>
        <w:tab/>
        <w:t>Gorzoni, M. L. and S. L. Pires (2011). "Deaths in nursing homes." Rev Assoc Med Bras 57(3): 327-331.</w:t>
      </w:r>
    </w:p>
  </w:footnote>
  <w:footnote w:id="3">
    <w:p w14:paraId="42845FFA" w14:textId="77777777" w:rsidR="00821D42" w:rsidRDefault="00821D42" w:rsidP="00902DD8">
      <w:pPr>
        <w:pStyle w:val="FootnoteText"/>
      </w:pPr>
      <w:r w:rsidRPr="000A566A">
        <w:rPr>
          <w:rStyle w:val="FootnoteReference"/>
          <w:color w:val="auto"/>
          <w:sz w:val="20"/>
        </w:rPr>
        <w:footnoteRef/>
      </w:r>
      <w:r w:rsidRPr="000A566A">
        <w:rPr>
          <w:rStyle w:val="FootnoteReference"/>
          <w:color w:val="auto"/>
          <w:sz w:val="20"/>
        </w:rPr>
        <w:t xml:space="preserve"> </w:t>
      </w:r>
      <w:r>
        <w:tab/>
        <w:t>Thomas, J. M., et al. (2013). "Systematic review: health-related characteristics of elderly hospitalized adults and nursing home residents associated with short-term mortality." J Am Geriatr Soc 61(6): 902-911.</w:t>
      </w:r>
    </w:p>
  </w:footnote>
  <w:footnote w:id="4">
    <w:p w14:paraId="6B62BFCD" w14:textId="77777777" w:rsidR="00821D42" w:rsidRDefault="00821D42" w:rsidP="00902DD8">
      <w:pPr>
        <w:pStyle w:val="FootnoteText"/>
      </w:pPr>
      <w:r w:rsidRPr="000A566A">
        <w:rPr>
          <w:rStyle w:val="FootnoteReference"/>
          <w:color w:val="auto"/>
          <w:sz w:val="20"/>
        </w:rPr>
        <w:footnoteRef/>
      </w:r>
      <w:r w:rsidRPr="000A566A">
        <w:rPr>
          <w:rStyle w:val="FootnoteReference"/>
          <w:color w:val="auto"/>
          <w:sz w:val="20"/>
        </w:rPr>
        <w:t xml:space="preserve"> </w:t>
      </w:r>
      <w:r>
        <w:tab/>
        <w:t>White-Chu, E. F., et al. (2011). "Pressure ulcers in long-term care." Clin Geriatr Med 27(2): 241-258.</w:t>
      </w:r>
    </w:p>
  </w:footnote>
  <w:footnote w:id="5">
    <w:p w14:paraId="46650E56" w14:textId="77777777" w:rsidR="00821D42" w:rsidRDefault="00821D42" w:rsidP="00902DD8">
      <w:pPr>
        <w:pStyle w:val="FootnoteText"/>
      </w:pPr>
      <w:r w:rsidRPr="000A566A">
        <w:rPr>
          <w:rStyle w:val="FootnoteReference"/>
          <w:color w:val="auto"/>
          <w:sz w:val="20"/>
        </w:rPr>
        <w:footnoteRef/>
      </w:r>
      <w:r>
        <w:t xml:space="preserve"> </w:t>
      </w:r>
      <w:r>
        <w:tab/>
        <w:t>Bates-Jensen BM. Quality indicators for prevention and management of pressure ulcers in vulnerable elders. Ann Int Med. 2001;135 (8 Part 2), 744-51.</w:t>
      </w:r>
    </w:p>
  </w:footnote>
  <w:footnote w:id="6">
    <w:p w14:paraId="2DE3E49E" w14:textId="77777777" w:rsidR="00821D42" w:rsidRDefault="00821D42" w:rsidP="00902DD8">
      <w:pPr>
        <w:pStyle w:val="FootnoteText"/>
      </w:pPr>
      <w:r w:rsidRPr="000A566A">
        <w:rPr>
          <w:rStyle w:val="FootnoteReference"/>
          <w:color w:val="auto"/>
          <w:sz w:val="20"/>
        </w:rPr>
        <w:footnoteRef/>
      </w:r>
      <w:r>
        <w:t xml:space="preserve"> </w:t>
      </w:r>
      <w:r>
        <w:tab/>
        <w:t xml:space="preserve">Park-Lee E, Caffrey C. Pressure ulcers among nursing home residents: United States, 2004 (NCHS Data Brief No. 14). Hyattsville, MD: National Center for Health Statistics, 2009. Available from </w:t>
      </w:r>
      <w:hyperlink r:id="rId1" w:history="1">
        <w:r w:rsidRPr="009D3ADA">
          <w:rPr>
            <w:rStyle w:val="Hyperlink"/>
          </w:rPr>
          <w:t>http://www.cdc.gov/nchs/data/databriefs/db14.htm</w:t>
        </w:r>
      </w:hyperlink>
      <w:r>
        <w:t>.</w:t>
      </w:r>
    </w:p>
  </w:footnote>
  <w:footnote w:id="7">
    <w:p w14:paraId="1AC6400B" w14:textId="77777777" w:rsidR="00821D42" w:rsidRDefault="00821D42" w:rsidP="00902DD8">
      <w:pPr>
        <w:pStyle w:val="FootnoteText"/>
      </w:pPr>
      <w:r w:rsidRPr="000A566A">
        <w:rPr>
          <w:rStyle w:val="FootnoteReference"/>
          <w:color w:val="auto"/>
          <w:sz w:val="20"/>
        </w:rPr>
        <w:footnoteRef/>
      </w:r>
      <w:r w:rsidRPr="000A566A">
        <w:rPr>
          <w:rStyle w:val="FootnoteReference"/>
          <w:color w:val="auto"/>
          <w:sz w:val="20"/>
        </w:rPr>
        <w:t xml:space="preserve"> </w:t>
      </w:r>
      <w:r>
        <w:tab/>
        <w:t>Wang, H., et al. (2014). "Impact of pressure ulcers on outcomes in inpatient rehabilitation facilities." Am J Phys Med Rehabil 93(3): 207-216.</w:t>
      </w:r>
    </w:p>
  </w:footnote>
  <w:footnote w:id="8">
    <w:p w14:paraId="429393C7" w14:textId="77777777" w:rsidR="00821D42" w:rsidRDefault="00821D42" w:rsidP="00902DD8">
      <w:pPr>
        <w:pStyle w:val="FootnoteText"/>
      </w:pPr>
      <w:r w:rsidRPr="000A566A">
        <w:rPr>
          <w:rStyle w:val="FootnoteReference"/>
          <w:color w:val="auto"/>
          <w:sz w:val="20"/>
        </w:rPr>
        <w:footnoteRef/>
      </w:r>
      <w:r>
        <w:t xml:space="preserve"> </w:t>
      </w:r>
      <w:r>
        <w:tab/>
      </w:r>
      <w:r w:rsidRPr="008A312B">
        <w:t>Hurd</w:t>
      </w:r>
      <w:r>
        <w:t xml:space="preserve"> D, Moore T, Radley D, Williams C. Pressure ulcer prevalence and incidence across post-acute care settings. Home Health Quality Measures &amp; Data Analysis Project, Report of Findings, prepared for CMS/OCSQ, Baltimore, MD, under Contract No. 500-2005-000181 TO 0002. 2010.</w:t>
      </w:r>
    </w:p>
  </w:footnote>
  <w:footnote w:id="9">
    <w:p w14:paraId="32991275" w14:textId="77777777" w:rsidR="00821D42" w:rsidRDefault="00821D42" w:rsidP="00902DD8">
      <w:pPr>
        <w:pStyle w:val="FootnoteText"/>
      </w:pPr>
      <w:r w:rsidRPr="000A566A">
        <w:rPr>
          <w:rStyle w:val="FootnoteReference"/>
          <w:color w:val="auto"/>
          <w:sz w:val="20"/>
        </w:rPr>
        <w:footnoteRef/>
      </w:r>
      <w:r>
        <w:t xml:space="preserve"> </w:t>
      </w:r>
      <w:r>
        <w:tab/>
        <w:t xml:space="preserve">Institute for Healthcare Improvement (IHI). Relieve the pressure and reduce harm. May 21, 2007. Available from </w:t>
      </w:r>
      <w:hyperlink r:id="rId2" w:history="1">
        <w:r w:rsidRPr="009D3ADA">
          <w:rPr>
            <w:rStyle w:val="Hyperlink"/>
          </w:rPr>
          <w:t>http://www.ihi.org/IHI/Topics/PatientSafety/SafetyGeneral/ImprovementStories/FSRelievethePressureandReduceHarm.htm</w:t>
        </w:r>
      </w:hyperlink>
      <w:r>
        <w:t>.</w:t>
      </w:r>
    </w:p>
  </w:footnote>
  <w:footnote w:id="10">
    <w:p w14:paraId="7910EC7F" w14:textId="77777777" w:rsidR="00821D42" w:rsidRPr="00F3221F" w:rsidRDefault="00821D42" w:rsidP="001D19F6">
      <w:pPr>
        <w:pStyle w:val="FootnoteText"/>
      </w:pPr>
      <w:r w:rsidRPr="000A566A">
        <w:rPr>
          <w:rStyle w:val="FootnoteReference"/>
          <w:color w:val="auto"/>
          <w:sz w:val="20"/>
        </w:rPr>
        <w:footnoteRef/>
      </w:r>
      <w:r w:rsidRPr="000A566A">
        <w:rPr>
          <w:rStyle w:val="FootnoteReference"/>
          <w:color w:val="auto"/>
          <w:sz w:val="20"/>
        </w:rPr>
        <w:t xml:space="preserve"> </w:t>
      </w:r>
      <w:r>
        <w:tab/>
        <w:t xml:space="preserve">Russo CA, Steiner C, Spector W. Hospitalizations related to pressure ulcers among adults 18 years and older, 2006 (Healthcare Cost and Utilization Project Statistical Brief No. 64). December 2008. Available from  </w:t>
      </w:r>
      <w:hyperlink r:id="rId3" w:history="1">
        <w:r w:rsidRPr="00165D0A">
          <w:rPr>
            <w:rStyle w:val="Hyperlink"/>
          </w:rPr>
          <w:t>http://www.hcup-us.ahrq.gov/reports/statbriefs/sb64.pdf</w:t>
        </w:r>
      </w:hyperlink>
      <w:r>
        <w:t>.</w:t>
      </w:r>
    </w:p>
  </w:footnote>
  <w:footnote w:id="11">
    <w:p w14:paraId="194DACA0" w14:textId="2D6E767E" w:rsidR="00821D42" w:rsidRDefault="00821D42" w:rsidP="001D19F6">
      <w:pPr>
        <w:pStyle w:val="FootnoteText"/>
      </w:pPr>
      <w:r w:rsidRPr="00F02C4B">
        <w:rPr>
          <w:rStyle w:val="FootnoteReference"/>
          <w:color w:val="auto"/>
        </w:rPr>
        <w:footnoteRef/>
      </w:r>
      <w:r w:rsidRPr="00F02C4B">
        <w:t xml:space="preserve"> </w:t>
      </w:r>
      <w:r w:rsidRPr="00F02C4B">
        <w:tab/>
      </w:r>
      <w:r w:rsidRPr="00F3221F">
        <w:t xml:space="preserve">Agency for Healthcare Research and Quality (AHRQ). Agency news and notes: pressure ulcers are increasing among hospital patients. January 2009. Available from </w:t>
      </w:r>
      <w:hyperlink r:id="rId4" w:history="1">
        <w:r w:rsidRPr="00F3221F">
          <w:rPr>
            <w:color w:val="0000FF"/>
            <w:u w:val="single"/>
          </w:rPr>
          <w:t>http://www.ahrq.gov/research/jan09/0109RA22.htm</w:t>
        </w:r>
      </w:hyperlink>
      <w:r w:rsidRPr="00F3221F">
        <w:t>.</w:t>
      </w:r>
    </w:p>
  </w:footnote>
  <w:footnote w:id="12">
    <w:p w14:paraId="53E44852" w14:textId="012617DF" w:rsidR="00821D42" w:rsidRDefault="00821D42" w:rsidP="001D19F6">
      <w:pPr>
        <w:pStyle w:val="FootnoteText"/>
      </w:pPr>
      <w:r w:rsidRPr="00F02C4B">
        <w:rPr>
          <w:rStyle w:val="FootnoteReference"/>
          <w:color w:val="auto"/>
        </w:rPr>
        <w:footnoteRef/>
      </w:r>
      <w:r w:rsidRPr="00F02C4B">
        <w:t xml:space="preserve"> </w:t>
      </w:r>
      <w:r w:rsidRPr="00F02C4B">
        <w:tab/>
      </w:r>
      <w:r w:rsidRPr="00F3221F">
        <w:t>Cai, S., et al. (2013). "Obesity and pressure ulcers among nursing home residents." Med Care 51(6): 478-486.</w:t>
      </w:r>
    </w:p>
  </w:footnote>
  <w:footnote w:id="13">
    <w:p w14:paraId="77B75597" w14:textId="4429581D" w:rsidR="00821D42" w:rsidRDefault="00821D42" w:rsidP="001D19F6">
      <w:pPr>
        <w:pStyle w:val="FootnoteText"/>
      </w:pPr>
      <w:r w:rsidRPr="00F02C4B">
        <w:rPr>
          <w:rStyle w:val="FootnoteReference"/>
          <w:color w:val="auto"/>
        </w:rPr>
        <w:footnoteRef/>
      </w:r>
      <w:r w:rsidRPr="00F02C4B">
        <w:t xml:space="preserve"> </w:t>
      </w:r>
      <w:r w:rsidRPr="00F02C4B">
        <w:tab/>
      </w:r>
      <w:r w:rsidRPr="00F3221F">
        <w:t>DeJong, G., et al. (2014). "Factors Associated with Pressure Ulcer Risk in Spinal Cord Injury Rehabilitation." Am J Phys Med Rehabil. 2014 May 29. [Epub ahead of print]</w:t>
      </w:r>
    </w:p>
  </w:footnote>
  <w:footnote w:id="14">
    <w:p w14:paraId="4F5B7FF6" w14:textId="2A31662B" w:rsidR="00821D42" w:rsidRDefault="00821D42" w:rsidP="001D19F6">
      <w:pPr>
        <w:pStyle w:val="FootnoteText"/>
      </w:pPr>
      <w:r w:rsidRPr="00F02C4B">
        <w:rPr>
          <w:rStyle w:val="FootnoteReference"/>
          <w:color w:val="auto"/>
        </w:rPr>
        <w:footnoteRef/>
      </w:r>
      <w:r w:rsidRPr="00F02C4B">
        <w:t xml:space="preserve"> </w:t>
      </w:r>
      <w:r>
        <w:tab/>
      </w:r>
      <w:r w:rsidRPr="00F3221F">
        <w:t xml:space="preserve">MacLean DS. Preventing &amp; managing pressure sores. Caring for the Ages. March 2003;4(3):34-7. Available from </w:t>
      </w:r>
      <w:hyperlink r:id="rId5" w:history="1">
        <w:r w:rsidRPr="00F3221F">
          <w:rPr>
            <w:color w:val="0000FF"/>
            <w:u w:val="single"/>
          </w:rPr>
          <w:t>http://www.amda.com/publications/caring/march2003/policies.cfm</w:t>
        </w:r>
      </w:hyperlink>
      <w:r w:rsidRPr="00F3221F">
        <w:t>.</w:t>
      </w:r>
    </w:p>
  </w:footnote>
  <w:footnote w:id="15">
    <w:p w14:paraId="0448CED2" w14:textId="79B18467" w:rsidR="00821D42" w:rsidRDefault="00821D42" w:rsidP="001D19F6">
      <w:pPr>
        <w:pStyle w:val="FootnoteText"/>
      </w:pPr>
      <w:r w:rsidRPr="00F02C4B">
        <w:rPr>
          <w:rStyle w:val="FootnoteReference"/>
          <w:color w:val="auto"/>
        </w:rPr>
        <w:footnoteRef/>
      </w:r>
      <w:r w:rsidRPr="00F02C4B">
        <w:t xml:space="preserve"> </w:t>
      </w:r>
      <w:r>
        <w:tab/>
      </w:r>
      <w:r w:rsidRPr="00F3221F">
        <w:t>Michel, J. M., et al. (2012). "As of 2012, what are the key predictive risk factors for pressure ulcers? Developing French guidelines for clinical practice." Ann Phys Rehabil Med 55(7): 454-465.</w:t>
      </w:r>
    </w:p>
  </w:footnote>
  <w:footnote w:id="16">
    <w:p w14:paraId="78330895" w14:textId="4BB4FF43" w:rsidR="00821D42" w:rsidRDefault="00821D42" w:rsidP="001D19F6">
      <w:pPr>
        <w:pStyle w:val="FootnoteText"/>
      </w:pPr>
      <w:r w:rsidRPr="00F02C4B">
        <w:rPr>
          <w:rStyle w:val="FootnoteReference"/>
          <w:color w:val="auto"/>
        </w:rPr>
        <w:footnoteRef/>
      </w:r>
      <w:r w:rsidRPr="00F02C4B">
        <w:t xml:space="preserve"> </w:t>
      </w:r>
      <w:r w:rsidRPr="00F02C4B">
        <w:tab/>
      </w:r>
      <w:r w:rsidRPr="00F3221F">
        <w:t xml:space="preserve">National </w:t>
      </w:r>
      <w:r w:rsidRPr="00902DD8">
        <w:t>Pressure</w:t>
      </w:r>
      <w:r w:rsidRPr="00F3221F">
        <w:t xml:space="preserve"> Ulcer Advisory Panel (NPUAP) Board of Directors; Cuddigan J, Berlowitz DR, Ayello EA (Eds). Pressure ulcers in America: prevalence, incidence, and implications for the future. An executive summary of the National Pressure Ulcer Advisory Panel Monograph. Adv Skin Wound Care. 2001;14(4):208-15.</w:t>
      </w:r>
    </w:p>
  </w:footnote>
  <w:footnote w:id="17">
    <w:p w14:paraId="58DD221B" w14:textId="04F1CF93" w:rsidR="00821D42" w:rsidRDefault="00821D42" w:rsidP="001D19F6">
      <w:pPr>
        <w:pStyle w:val="FootnoteText"/>
      </w:pPr>
      <w:r w:rsidRPr="00F02C4B">
        <w:rPr>
          <w:rStyle w:val="FootnoteReference"/>
          <w:color w:val="auto"/>
        </w:rPr>
        <w:footnoteRef/>
      </w:r>
      <w:r w:rsidRPr="00F02C4B">
        <w:t xml:space="preserve"> </w:t>
      </w:r>
      <w:r w:rsidRPr="00F02C4B">
        <w:tab/>
        <w:t>Reddy</w:t>
      </w:r>
      <w:r w:rsidRPr="00F3221F">
        <w:t>, M. (2011). "Pressure ulcers." Clin Evid (Online) 2011.</w:t>
      </w:r>
    </w:p>
  </w:footnote>
  <w:footnote w:id="18">
    <w:p w14:paraId="05D64D64" w14:textId="743BE46B" w:rsidR="00821D42" w:rsidRDefault="00821D42" w:rsidP="00F02C4B">
      <w:pPr>
        <w:pStyle w:val="FootnoteText"/>
      </w:pPr>
      <w:r w:rsidRPr="00F02C4B">
        <w:rPr>
          <w:rStyle w:val="FootnoteReference"/>
          <w:color w:val="auto"/>
        </w:rPr>
        <w:footnoteRef/>
      </w:r>
      <w:r w:rsidRPr="00F02C4B">
        <w:t xml:space="preserve"> </w:t>
      </w:r>
      <w:r w:rsidRPr="00F02C4B">
        <w:tab/>
        <w:t>Teno, J. M., et al. (2012). "Feeding tubes and the prevention or healing of pressure ulcers." Arch Intern Med 172(9): 697-701</w:t>
      </w:r>
    </w:p>
  </w:footnote>
  <w:footnote w:id="19">
    <w:p w14:paraId="2D215EA3" w14:textId="7D56E5EC" w:rsidR="00821D42" w:rsidRDefault="00821D42" w:rsidP="004B3DC5">
      <w:pPr>
        <w:pStyle w:val="FootnoteText"/>
      </w:pPr>
      <w:r w:rsidRPr="00F02C4B">
        <w:rPr>
          <w:rStyle w:val="FootnoteReference"/>
          <w:color w:val="auto"/>
        </w:rPr>
        <w:footnoteRef/>
      </w:r>
      <w:r w:rsidRPr="00F02C4B">
        <w:t xml:space="preserve"> </w:t>
      </w:r>
      <w:r w:rsidRPr="00F02C4B">
        <w:tab/>
        <w:t xml:space="preserve">Bernard </w:t>
      </w:r>
      <w:r w:rsidRPr="0022678C">
        <w:t xml:space="preserve">SL, Dalton K, Lenfestey N F, Jarrett NM, Nguyen KH, Sorensen AV, Thaker S, West ND. Study to support a CMS report to Congress: Assess feasibility of extending the hospital-acquired conditions—present on admission IPPS payment policy to non-IPPS payment environments. Prepared for Centers for Medicare &amp; Medicaid Services. 2011. </w:t>
      </w:r>
      <w:r w:rsidRPr="00902DD8">
        <w:t>Available</w:t>
      </w:r>
      <w:r w:rsidRPr="0022678C">
        <w:t xml:space="preserve"> from: </w:t>
      </w:r>
      <w:hyperlink r:id="rId6" w:history="1">
        <w:r w:rsidRPr="0022678C">
          <w:rPr>
            <w:color w:val="0000FF"/>
            <w:u w:val="single"/>
          </w:rPr>
          <w:t>http://innovation.cms.gov/Files/x/HospAcquiredConditionsRTC.pdf</w:t>
        </w:r>
      </w:hyperlink>
      <w:r w:rsidRPr="0022678C">
        <w:t>.</w:t>
      </w:r>
    </w:p>
  </w:footnote>
  <w:footnote w:id="20">
    <w:p w14:paraId="2C53BADF" w14:textId="3AC9D4D7" w:rsidR="00821D42" w:rsidRDefault="00821D42" w:rsidP="004B3DC5">
      <w:pPr>
        <w:pStyle w:val="FootnoteText"/>
      </w:pPr>
      <w:r w:rsidRPr="00F02C4B">
        <w:rPr>
          <w:rStyle w:val="FootnoteReference"/>
          <w:color w:val="auto"/>
        </w:rPr>
        <w:footnoteRef/>
      </w:r>
      <w:r w:rsidRPr="00F02C4B">
        <w:t xml:space="preserve"> </w:t>
      </w:r>
      <w:r w:rsidRPr="00F02C4B">
        <w:rPr>
          <w:position w:val="6"/>
        </w:rPr>
        <w:tab/>
      </w:r>
      <w:r w:rsidRPr="00F02C4B">
        <w:t xml:space="preserve">Centers </w:t>
      </w:r>
      <w:r w:rsidRPr="0022678C">
        <w:t>for Medicare &amp; Medicaid Services (CMS). Medicare program; changes to the hospital inpatient prospective payment system and fiscal year 2008 rates. Fed Register. August 22, 2007;72(162):47205.</w:t>
      </w:r>
    </w:p>
  </w:footnote>
  <w:footnote w:id="21">
    <w:p w14:paraId="7A446960" w14:textId="717A894A" w:rsidR="00821D42" w:rsidRDefault="00821D42">
      <w:pPr>
        <w:pStyle w:val="FootnoteText"/>
      </w:pPr>
      <w:r w:rsidRPr="00F02C4B">
        <w:rPr>
          <w:rStyle w:val="FootnoteReference"/>
          <w:color w:val="auto"/>
        </w:rPr>
        <w:footnoteRef/>
      </w:r>
      <w:r w:rsidRPr="00F02C4B">
        <w:t xml:space="preserve"> </w:t>
      </w:r>
      <w:r w:rsidRPr="00F02C4B">
        <w:rPr>
          <w:position w:val="6"/>
        </w:rPr>
        <w:tab/>
      </w:r>
      <w:r w:rsidRPr="0022678C">
        <w:t xml:space="preserve">Advancing Excellence in America’s Nursing Homes (AEANH).Explore our goals.. n.d. Available from </w:t>
      </w:r>
      <w:hyperlink r:id="rId7" w:history="1">
        <w:r w:rsidRPr="0022678C">
          <w:rPr>
            <w:color w:val="0000FF"/>
            <w:u w:val="single"/>
          </w:rPr>
          <w:t>https://www.nhqualitycampaign.org/goals.aspx</w:t>
        </w:r>
      </w:hyperlink>
    </w:p>
  </w:footnote>
  <w:footnote w:id="22">
    <w:p w14:paraId="34C01672" w14:textId="22F2154E" w:rsidR="00821D42" w:rsidRDefault="00821D42">
      <w:pPr>
        <w:pStyle w:val="FootnoteText"/>
      </w:pPr>
      <w:r w:rsidRPr="00F02C4B">
        <w:rPr>
          <w:rStyle w:val="FootnoteReference"/>
          <w:color w:val="auto"/>
        </w:rPr>
        <w:footnoteRef/>
      </w:r>
      <w:r w:rsidRPr="00F02C4B">
        <w:t xml:space="preserve"> </w:t>
      </w:r>
      <w:r>
        <w:tab/>
      </w:r>
      <w:r w:rsidRPr="00F02C4B">
        <w:t xml:space="preserve">Kandilov </w:t>
      </w:r>
      <w:r w:rsidRPr="0022678C">
        <w:t>AMG, Coomer NM, Dalton K. (2014) The impact of hospital-acquired conditions on Medicare program payments. MMRR 4(4): E1-E23.</w:t>
      </w:r>
    </w:p>
  </w:footnote>
  <w:footnote w:id="23">
    <w:p w14:paraId="6398381D" w14:textId="17356EDC" w:rsidR="00821D42" w:rsidRPr="00E54934" w:rsidRDefault="00821D42" w:rsidP="00902DD8">
      <w:pPr>
        <w:pStyle w:val="FootnoteText"/>
      </w:pPr>
      <w:r w:rsidRPr="00E54934">
        <w:rPr>
          <w:rStyle w:val="FootnoteReference"/>
          <w:color w:val="auto"/>
        </w:rPr>
        <w:footnoteRef/>
      </w:r>
      <w:r w:rsidRPr="00E54934">
        <w:t xml:space="preserve"> </w:t>
      </w:r>
      <w:r>
        <w:tab/>
      </w:r>
      <w:r w:rsidRPr="00E54934">
        <w:t>For the April 1, 2016 release of LTCH CARE Data Set, this item will be renumbered to GG0170C.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EF3F" w14:textId="77777777" w:rsidR="00821D42" w:rsidRDefault="00821D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6F6F" w14:textId="77777777" w:rsidR="00821D42" w:rsidRPr="00674A43" w:rsidRDefault="00821D42" w:rsidP="004F49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EE4BC" w14:textId="14053F13" w:rsidR="00821D42" w:rsidRPr="00674A43" w:rsidRDefault="00821D42" w:rsidP="004F490F">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0E340" w14:textId="77777777" w:rsidR="00821D42" w:rsidRDefault="00821D42">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B3E4DB28"/>
    <w:lvl w:ilvl="0">
      <w:start w:val="1"/>
      <w:numFmt w:val="lowerLetter"/>
      <w:pStyle w:val="ListNumber2"/>
      <w:lvlText w:val="%1."/>
      <w:lvlJc w:val="left"/>
      <w:pPr>
        <w:ind w:left="720" w:hanging="360"/>
      </w:pPr>
      <w:rPr>
        <w:rFonts w:hint="default"/>
      </w:rPr>
    </w:lvl>
  </w:abstractNum>
  <w:abstractNum w:abstractNumId="1" w15:restartNumberingAfterBreak="0">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2" w15:restartNumberingAfterBreak="0">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3" w15:restartNumberingAfterBreak="0">
    <w:nsid w:val="FFFFFF88"/>
    <w:multiLevelType w:val="singleLevel"/>
    <w:tmpl w:val="CADAA74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5" w15:restartNumberingAfterBreak="0">
    <w:nsid w:val="031C6A46"/>
    <w:multiLevelType w:val="hybridMultilevel"/>
    <w:tmpl w:val="CB0C1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28A2781B"/>
    <w:multiLevelType w:val="hybridMultilevel"/>
    <w:tmpl w:val="E222B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C53F4"/>
    <w:multiLevelType w:val="hybridMultilevel"/>
    <w:tmpl w:val="F53466D6"/>
    <w:lvl w:ilvl="0" w:tplc="5DEC8478">
      <w:start w:val="1"/>
      <w:numFmt w:val="bullet"/>
      <w:lvlText w:val="▪"/>
      <w:lvlJc w:val="left"/>
      <w:pPr>
        <w:ind w:left="720" w:hanging="360"/>
      </w:pPr>
      <w:rPr>
        <w:rFonts w:ascii="Arial" w:hAnsi="Aria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014CA"/>
    <w:multiLevelType w:val="hybridMultilevel"/>
    <w:tmpl w:val="B8BE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7E1B1C"/>
    <w:multiLevelType w:val="hybridMultilevel"/>
    <w:tmpl w:val="680AA49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6BF2651A"/>
    <w:multiLevelType w:val="hybridMultilevel"/>
    <w:tmpl w:val="73C0FA62"/>
    <w:lvl w:ilvl="0" w:tplc="382A26B6">
      <w:start w:val="1"/>
      <w:numFmt w:val="decimal"/>
      <w:pStyle w:val="ListNumb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A97607"/>
    <w:multiLevelType w:val="hybridMultilevel"/>
    <w:tmpl w:val="52FC06C8"/>
    <w:lvl w:ilvl="0" w:tplc="9BDCDC8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6"/>
  </w:num>
  <w:num w:numId="6">
    <w:abstractNumId w:val="11"/>
  </w:num>
  <w:num w:numId="7">
    <w:abstractNumId w:val="11"/>
  </w:num>
  <w:num w:numId="8">
    <w:abstractNumId w:val="7"/>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0"/>
    <w:lvlOverride w:ilvl="0">
      <w:startOverride w:val="1"/>
    </w:lvlOverride>
  </w:num>
  <w:num w:numId="13">
    <w:abstractNumId w:val="11"/>
    <w:lvlOverride w:ilvl="0">
      <w:startOverride w:val="1"/>
    </w:lvlOverride>
  </w:num>
  <w:num w:numId="14">
    <w:abstractNumId w:val="0"/>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num>
  <w:num w:numId="20">
    <w:abstractNumId w:val="11"/>
    <w:lvlOverride w:ilvl="0">
      <w:startOverride w:val="1"/>
    </w:lvlOverride>
  </w:num>
  <w:num w:numId="21">
    <w:abstractNumId w:val="3"/>
  </w:num>
  <w:num w:numId="22">
    <w:abstractNumId w:val="9"/>
  </w:num>
  <w:num w:numId="23">
    <w:abstractNumId w:val="5"/>
  </w:num>
  <w:num w:numId="24">
    <w:abstractNumId w:val="8"/>
  </w:num>
  <w:num w:numId="25">
    <w:abstractNumId w:val="12"/>
  </w:num>
  <w:num w:numId="26">
    <w:abstractNumId w:val="10"/>
  </w:num>
  <w:num w:numId="27">
    <w:abstractNumId w:val="11"/>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79"/>
    <w:rsid w:val="00000F8B"/>
    <w:rsid w:val="0000296C"/>
    <w:rsid w:val="00020DF6"/>
    <w:rsid w:val="00032950"/>
    <w:rsid w:val="00037775"/>
    <w:rsid w:val="0004101E"/>
    <w:rsid w:val="00042DE9"/>
    <w:rsid w:val="00044E51"/>
    <w:rsid w:val="0004751F"/>
    <w:rsid w:val="00067CC5"/>
    <w:rsid w:val="000747F7"/>
    <w:rsid w:val="0008682F"/>
    <w:rsid w:val="0009149A"/>
    <w:rsid w:val="000932AE"/>
    <w:rsid w:val="000A174A"/>
    <w:rsid w:val="000A566A"/>
    <w:rsid w:val="000A68F9"/>
    <w:rsid w:val="000C29A8"/>
    <w:rsid w:val="000C2AD5"/>
    <w:rsid w:val="000D234F"/>
    <w:rsid w:val="000E1AB4"/>
    <w:rsid w:val="000E6047"/>
    <w:rsid w:val="000F19C6"/>
    <w:rsid w:val="000F378C"/>
    <w:rsid w:val="000F3C24"/>
    <w:rsid w:val="000F7360"/>
    <w:rsid w:val="000F7B98"/>
    <w:rsid w:val="001008F9"/>
    <w:rsid w:val="0011186C"/>
    <w:rsid w:val="00121285"/>
    <w:rsid w:val="0012141A"/>
    <w:rsid w:val="001218BF"/>
    <w:rsid w:val="00130C00"/>
    <w:rsid w:val="001363D5"/>
    <w:rsid w:val="0013640C"/>
    <w:rsid w:val="00147055"/>
    <w:rsid w:val="001513D7"/>
    <w:rsid w:val="00151B0F"/>
    <w:rsid w:val="00152AA4"/>
    <w:rsid w:val="00166015"/>
    <w:rsid w:val="00166D5A"/>
    <w:rsid w:val="001702CD"/>
    <w:rsid w:val="0017221F"/>
    <w:rsid w:val="00193EF3"/>
    <w:rsid w:val="001A0060"/>
    <w:rsid w:val="001A05A6"/>
    <w:rsid w:val="001A3EDE"/>
    <w:rsid w:val="001A5F74"/>
    <w:rsid w:val="001A68CC"/>
    <w:rsid w:val="001A6C19"/>
    <w:rsid w:val="001B3AE5"/>
    <w:rsid w:val="001C2713"/>
    <w:rsid w:val="001C6FD6"/>
    <w:rsid w:val="001C7FCB"/>
    <w:rsid w:val="001D19F6"/>
    <w:rsid w:val="001D303B"/>
    <w:rsid w:val="001E003D"/>
    <w:rsid w:val="001E44AE"/>
    <w:rsid w:val="001E579D"/>
    <w:rsid w:val="001E7A88"/>
    <w:rsid w:val="001F0A04"/>
    <w:rsid w:val="00201E7D"/>
    <w:rsid w:val="00207858"/>
    <w:rsid w:val="00210732"/>
    <w:rsid w:val="00221BE0"/>
    <w:rsid w:val="0022678C"/>
    <w:rsid w:val="00226DA6"/>
    <w:rsid w:val="002273C5"/>
    <w:rsid w:val="00227ADC"/>
    <w:rsid w:val="00227F10"/>
    <w:rsid w:val="00227F74"/>
    <w:rsid w:val="00233AA1"/>
    <w:rsid w:val="00237580"/>
    <w:rsid w:val="002436D7"/>
    <w:rsid w:val="00245994"/>
    <w:rsid w:val="0024703E"/>
    <w:rsid w:val="00247B0E"/>
    <w:rsid w:val="002564FB"/>
    <w:rsid w:val="002616BF"/>
    <w:rsid w:val="0026629F"/>
    <w:rsid w:val="00274446"/>
    <w:rsid w:val="00274979"/>
    <w:rsid w:val="002903E4"/>
    <w:rsid w:val="00292B7D"/>
    <w:rsid w:val="0029405A"/>
    <w:rsid w:val="002A4450"/>
    <w:rsid w:val="002A480F"/>
    <w:rsid w:val="002B18D5"/>
    <w:rsid w:val="002B257A"/>
    <w:rsid w:val="002B26A9"/>
    <w:rsid w:val="002B30D4"/>
    <w:rsid w:val="002B3202"/>
    <w:rsid w:val="002B6A98"/>
    <w:rsid w:val="002B6DAD"/>
    <w:rsid w:val="002B76FA"/>
    <w:rsid w:val="002C46C1"/>
    <w:rsid w:val="002C7FDC"/>
    <w:rsid w:val="002D5B98"/>
    <w:rsid w:val="002E5357"/>
    <w:rsid w:val="0030399D"/>
    <w:rsid w:val="00304B64"/>
    <w:rsid w:val="003062DA"/>
    <w:rsid w:val="00313CE0"/>
    <w:rsid w:val="00315A79"/>
    <w:rsid w:val="003205F2"/>
    <w:rsid w:val="00321E92"/>
    <w:rsid w:val="003253D0"/>
    <w:rsid w:val="003262DF"/>
    <w:rsid w:val="00332046"/>
    <w:rsid w:val="00343332"/>
    <w:rsid w:val="003455F0"/>
    <w:rsid w:val="00352DFF"/>
    <w:rsid w:val="00360DE5"/>
    <w:rsid w:val="00373521"/>
    <w:rsid w:val="00373601"/>
    <w:rsid w:val="00374E86"/>
    <w:rsid w:val="003778C9"/>
    <w:rsid w:val="00382FD3"/>
    <w:rsid w:val="00385C2E"/>
    <w:rsid w:val="00392AB2"/>
    <w:rsid w:val="00394657"/>
    <w:rsid w:val="003A376F"/>
    <w:rsid w:val="003A4A26"/>
    <w:rsid w:val="003A7AF6"/>
    <w:rsid w:val="003B4855"/>
    <w:rsid w:val="003C6376"/>
    <w:rsid w:val="003D0518"/>
    <w:rsid w:val="003D21BA"/>
    <w:rsid w:val="003E5BA6"/>
    <w:rsid w:val="003E718C"/>
    <w:rsid w:val="003F5FF9"/>
    <w:rsid w:val="00402576"/>
    <w:rsid w:val="004025BD"/>
    <w:rsid w:val="00412159"/>
    <w:rsid w:val="004179CD"/>
    <w:rsid w:val="0042192D"/>
    <w:rsid w:val="00424990"/>
    <w:rsid w:val="00432A74"/>
    <w:rsid w:val="00443E57"/>
    <w:rsid w:val="0045122D"/>
    <w:rsid w:val="0045188D"/>
    <w:rsid w:val="004529EE"/>
    <w:rsid w:val="00452C9D"/>
    <w:rsid w:val="00453270"/>
    <w:rsid w:val="0045740B"/>
    <w:rsid w:val="004628F0"/>
    <w:rsid w:val="00463164"/>
    <w:rsid w:val="004631F1"/>
    <w:rsid w:val="00464E2C"/>
    <w:rsid w:val="00476DCB"/>
    <w:rsid w:val="00484ECF"/>
    <w:rsid w:val="004A3B43"/>
    <w:rsid w:val="004B3DC5"/>
    <w:rsid w:val="004B608E"/>
    <w:rsid w:val="004C0BBC"/>
    <w:rsid w:val="004C3610"/>
    <w:rsid w:val="004C6F79"/>
    <w:rsid w:val="004D0B36"/>
    <w:rsid w:val="004D5FE9"/>
    <w:rsid w:val="004F2CB6"/>
    <w:rsid w:val="004F490F"/>
    <w:rsid w:val="004F565E"/>
    <w:rsid w:val="005029F2"/>
    <w:rsid w:val="005055D0"/>
    <w:rsid w:val="00513565"/>
    <w:rsid w:val="00513CC5"/>
    <w:rsid w:val="005206C7"/>
    <w:rsid w:val="0052182A"/>
    <w:rsid w:val="00525DB0"/>
    <w:rsid w:val="00527002"/>
    <w:rsid w:val="00530784"/>
    <w:rsid w:val="005321A2"/>
    <w:rsid w:val="00543532"/>
    <w:rsid w:val="00547E71"/>
    <w:rsid w:val="0055161A"/>
    <w:rsid w:val="00553664"/>
    <w:rsid w:val="00555101"/>
    <w:rsid w:val="005556BA"/>
    <w:rsid w:val="00562EBA"/>
    <w:rsid w:val="00571271"/>
    <w:rsid w:val="00572B43"/>
    <w:rsid w:val="00572C3D"/>
    <w:rsid w:val="005831CA"/>
    <w:rsid w:val="005911A6"/>
    <w:rsid w:val="00592CA4"/>
    <w:rsid w:val="00594950"/>
    <w:rsid w:val="005969D8"/>
    <w:rsid w:val="005A1583"/>
    <w:rsid w:val="005A1879"/>
    <w:rsid w:val="005A6F6F"/>
    <w:rsid w:val="005B059A"/>
    <w:rsid w:val="005B2DB7"/>
    <w:rsid w:val="005B6290"/>
    <w:rsid w:val="005C0197"/>
    <w:rsid w:val="005C0D49"/>
    <w:rsid w:val="005C1EA2"/>
    <w:rsid w:val="005C2A13"/>
    <w:rsid w:val="005C6D0F"/>
    <w:rsid w:val="005D299C"/>
    <w:rsid w:val="005E573A"/>
    <w:rsid w:val="00606AAB"/>
    <w:rsid w:val="00607871"/>
    <w:rsid w:val="00612CEB"/>
    <w:rsid w:val="006157CA"/>
    <w:rsid w:val="0061704D"/>
    <w:rsid w:val="00622965"/>
    <w:rsid w:val="00624855"/>
    <w:rsid w:val="00625035"/>
    <w:rsid w:val="006275A6"/>
    <w:rsid w:val="006323AF"/>
    <w:rsid w:val="0063386D"/>
    <w:rsid w:val="00645494"/>
    <w:rsid w:val="00647481"/>
    <w:rsid w:val="00647DC6"/>
    <w:rsid w:val="006617A0"/>
    <w:rsid w:val="00665022"/>
    <w:rsid w:val="00686142"/>
    <w:rsid w:val="006910AE"/>
    <w:rsid w:val="006A5EE4"/>
    <w:rsid w:val="006B0D78"/>
    <w:rsid w:val="006B4D15"/>
    <w:rsid w:val="006B7642"/>
    <w:rsid w:val="006C075E"/>
    <w:rsid w:val="006D1824"/>
    <w:rsid w:val="006D399E"/>
    <w:rsid w:val="006E2F98"/>
    <w:rsid w:val="006E662F"/>
    <w:rsid w:val="006F381B"/>
    <w:rsid w:val="007003AD"/>
    <w:rsid w:val="0070063E"/>
    <w:rsid w:val="00701AD5"/>
    <w:rsid w:val="00702C26"/>
    <w:rsid w:val="007047BF"/>
    <w:rsid w:val="00706132"/>
    <w:rsid w:val="007070F1"/>
    <w:rsid w:val="00707266"/>
    <w:rsid w:val="007175AD"/>
    <w:rsid w:val="00720AC1"/>
    <w:rsid w:val="00722E6B"/>
    <w:rsid w:val="00726A9B"/>
    <w:rsid w:val="00727325"/>
    <w:rsid w:val="00727AC5"/>
    <w:rsid w:val="00730919"/>
    <w:rsid w:val="0074344E"/>
    <w:rsid w:val="00746D93"/>
    <w:rsid w:val="00750A33"/>
    <w:rsid w:val="00752182"/>
    <w:rsid w:val="007576E7"/>
    <w:rsid w:val="0076120C"/>
    <w:rsid w:val="007712A0"/>
    <w:rsid w:val="007879DC"/>
    <w:rsid w:val="00791DF7"/>
    <w:rsid w:val="0079758C"/>
    <w:rsid w:val="007A02DD"/>
    <w:rsid w:val="007A5906"/>
    <w:rsid w:val="007B4769"/>
    <w:rsid w:val="007C3518"/>
    <w:rsid w:val="007D6F51"/>
    <w:rsid w:val="007E75BA"/>
    <w:rsid w:val="007F1D62"/>
    <w:rsid w:val="007F202B"/>
    <w:rsid w:val="007F26F5"/>
    <w:rsid w:val="007F41C2"/>
    <w:rsid w:val="007F65BC"/>
    <w:rsid w:val="007F7FDE"/>
    <w:rsid w:val="00805317"/>
    <w:rsid w:val="008078FA"/>
    <w:rsid w:val="0081202B"/>
    <w:rsid w:val="00812705"/>
    <w:rsid w:val="008173C8"/>
    <w:rsid w:val="0081761D"/>
    <w:rsid w:val="00817C0E"/>
    <w:rsid w:val="00821D42"/>
    <w:rsid w:val="00824E84"/>
    <w:rsid w:val="0083146C"/>
    <w:rsid w:val="00832677"/>
    <w:rsid w:val="00833712"/>
    <w:rsid w:val="00836521"/>
    <w:rsid w:val="008530F8"/>
    <w:rsid w:val="008666AF"/>
    <w:rsid w:val="00866D07"/>
    <w:rsid w:val="008704BD"/>
    <w:rsid w:val="008923CF"/>
    <w:rsid w:val="008A312B"/>
    <w:rsid w:val="008C7C5F"/>
    <w:rsid w:val="008D3515"/>
    <w:rsid w:val="008D3AF8"/>
    <w:rsid w:val="008D7708"/>
    <w:rsid w:val="008F0371"/>
    <w:rsid w:val="008F45B5"/>
    <w:rsid w:val="0090115D"/>
    <w:rsid w:val="00902DD8"/>
    <w:rsid w:val="00913AF1"/>
    <w:rsid w:val="0093115E"/>
    <w:rsid w:val="0093242B"/>
    <w:rsid w:val="00933D1E"/>
    <w:rsid w:val="00935129"/>
    <w:rsid w:val="00936096"/>
    <w:rsid w:val="0094064B"/>
    <w:rsid w:val="00941F71"/>
    <w:rsid w:val="00942846"/>
    <w:rsid w:val="0094699E"/>
    <w:rsid w:val="00972262"/>
    <w:rsid w:val="00974DA0"/>
    <w:rsid w:val="00987E7D"/>
    <w:rsid w:val="00991FE1"/>
    <w:rsid w:val="009B19FD"/>
    <w:rsid w:val="009E26E2"/>
    <w:rsid w:val="009E2981"/>
    <w:rsid w:val="009E6FE1"/>
    <w:rsid w:val="009F495A"/>
    <w:rsid w:val="009F503F"/>
    <w:rsid w:val="009F56DD"/>
    <w:rsid w:val="00A00FE7"/>
    <w:rsid w:val="00A038BB"/>
    <w:rsid w:val="00A07199"/>
    <w:rsid w:val="00A07FD3"/>
    <w:rsid w:val="00A1701A"/>
    <w:rsid w:val="00A20752"/>
    <w:rsid w:val="00A30BC0"/>
    <w:rsid w:val="00A310E0"/>
    <w:rsid w:val="00A31EC9"/>
    <w:rsid w:val="00A325EF"/>
    <w:rsid w:val="00A33790"/>
    <w:rsid w:val="00A33D68"/>
    <w:rsid w:val="00A357BD"/>
    <w:rsid w:val="00A45079"/>
    <w:rsid w:val="00A47891"/>
    <w:rsid w:val="00A65F00"/>
    <w:rsid w:val="00A715C4"/>
    <w:rsid w:val="00A72BC6"/>
    <w:rsid w:val="00A73500"/>
    <w:rsid w:val="00A81B5E"/>
    <w:rsid w:val="00A87DB4"/>
    <w:rsid w:val="00A92789"/>
    <w:rsid w:val="00A94C87"/>
    <w:rsid w:val="00A96CFD"/>
    <w:rsid w:val="00AA11FB"/>
    <w:rsid w:val="00AA545B"/>
    <w:rsid w:val="00AA7E3A"/>
    <w:rsid w:val="00AB6A20"/>
    <w:rsid w:val="00AC7BDD"/>
    <w:rsid w:val="00AD04D6"/>
    <w:rsid w:val="00AD11F4"/>
    <w:rsid w:val="00AD59BC"/>
    <w:rsid w:val="00AD79D3"/>
    <w:rsid w:val="00AE545C"/>
    <w:rsid w:val="00AF34DB"/>
    <w:rsid w:val="00AF5E72"/>
    <w:rsid w:val="00B00BBD"/>
    <w:rsid w:val="00B04869"/>
    <w:rsid w:val="00B05DD8"/>
    <w:rsid w:val="00B06B2B"/>
    <w:rsid w:val="00B13648"/>
    <w:rsid w:val="00B179FD"/>
    <w:rsid w:val="00B278EB"/>
    <w:rsid w:val="00B31469"/>
    <w:rsid w:val="00B33069"/>
    <w:rsid w:val="00B34A49"/>
    <w:rsid w:val="00B51A8C"/>
    <w:rsid w:val="00B534AB"/>
    <w:rsid w:val="00B5487B"/>
    <w:rsid w:val="00B558A0"/>
    <w:rsid w:val="00B6414C"/>
    <w:rsid w:val="00B652BE"/>
    <w:rsid w:val="00B70E93"/>
    <w:rsid w:val="00B7154C"/>
    <w:rsid w:val="00B74438"/>
    <w:rsid w:val="00B773D3"/>
    <w:rsid w:val="00B80C04"/>
    <w:rsid w:val="00B810E0"/>
    <w:rsid w:val="00B81E9C"/>
    <w:rsid w:val="00B81F12"/>
    <w:rsid w:val="00B820D6"/>
    <w:rsid w:val="00B828F0"/>
    <w:rsid w:val="00B87845"/>
    <w:rsid w:val="00B90C05"/>
    <w:rsid w:val="00B9256A"/>
    <w:rsid w:val="00B94189"/>
    <w:rsid w:val="00B941DF"/>
    <w:rsid w:val="00BA0C76"/>
    <w:rsid w:val="00BA3324"/>
    <w:rsid w:val="00BB0146"/>
    <w:rsid w:val="00BB7417"/>
    <w:rsid w:val="00BC7613"/>
    <w:rsid w:val="00BD1428"/>
    <w:rsid w:val="00BD1DAB"/>
    <w:rsid w:val="00BD38BC"/>
    <w:rsid w:val="00BD7613"/>
    <w:rsid w:val="00BE1762"/>
    <w:rsid w:val="00BE5061"/>
    <w:rsid w:val="00BF0FC0"/>
    <w:rsid w:val="00C01E9F"/>
    <w:rsid w:val="00C101DC"/>
    <w:rsid w:val="00C13D6B"/>
    <w:rsid w:val="00C21208"/>
    <w:rsid w:val="00C2323E"/>
    <w:rsid w:val="00C235B7"/>
    <w:rsid w:val="00C30101"/>
    <w:rsid w:val="00C42C98"/>
    <w:rsid w:val="00C521EC"/>
    <w:rsid w:val="00C6082B"/>
    <w:rsid w:val="00C62EE8"/>
    <w:rsid w:val="00C721FC"/>
    <w:rsid w:val="00C77F3A"/>
    <w:rsid w:val="00C81E15"/>
    <w:rsid w:val="00C97A8C"/>
    <w:rsid w:val="00CA3AE2"/>
    <w:rsid w:val="00CA4340"/>
    <w:rsid w:val="00CD37AC"/>
    <w:rsid w:val="00CE3EC7"/>
    <w:rsid w:val="00CE464C"/>
    <w:rsid w:val="00CE5B82"/>
    <w:rsid w:val="00CE7A8F"/>
    <w:rsid w:val="00CE7CDB"/>
    <w:rsid w:val="00CF3610"/>
    <w:rsid w:val="00CF4838"/>
    <w:rsid w:val="00CF7334"/>
    <w:rsid w:val="00D01145"/>
    <w:rsid w:val="00D13042"/>
    <w:rsid w:val="00D13920"/>
    <w:rsid w:val="00D153A4"/>
    <w:rsid w:val="00D155A2"/>
    <w:rsid w:val="00D16903"/>
    <w:rsid w:val="00D2392D"/>
    <w:rsid w:val="00D24A24"/>
    <w:rsid w:val="00D2562B"/>
    <w:rsid w:val="00D276D1"/>
    <w:rsid w:val="00D42A35"/>
    <w:rsid w:val="00D46C7B"/>
    <w:rsid w:val="00D53C69"/>
    <w:rsid w:val="00D54D87"/>
    <w:rsid w:val="00D55BAD"/>
    <w:rsid w:val="00D60AB3"/>
    <w:rsid w:val="00D61EA0"/>
    <w:rsid w:val="00D62426"/>
    <w:rsid w:val="00D8586C"/>
    <w:rsid w:val="00D92651"/>
    <w:rsid w:val="00D93115"/>
    <w:rsid w:val="00D94B41"/>
    <w:rsid w:val="00DA4081"/>
    <w:rsid w:val="00DA7F56"/>
    <w:rsid w:val="00DB0138"/>
    <w:rsid w:val="00DC11AB"/>
    <w:rsid w:val="00DC5A50"/>
    <w:rsid w:val="00DC5AAD"/>
    <w:rsid w:val="00DC5D1A"/>
    <w:rsid w:val="00DD559E"/>
    <w:rsid w:val="00DD7F1D"/>
    <w:rsid w:val="00DF30D0"/>
    <w:rsid w:val="00E004D9"/>
    <w:rsid w:val="00E04E05"/>
    <w:rsid w:val="00E20D69"/>
    <w:rsid w:val="00E23EB8"/>
    <w:rsid w:val="00E26F66"/>
    <w:rsid w:val="00E45A31"/>
    <w:rsid w:val="00E5108A"/>
    <w:rsid w:val="00E5692C"/>
    <w:rsid w:val="00E5779C"/>
    <w:rsid w:val="00E60235"/>
    <w:rsid w:val="00E63120"/>
    <w:rsid w:val="00E7366F"/>
    <w:rsid w:val="00E81A86"/>
    <w:rsid w:val="00E81ABB"/>
    <w:rsid w:val="00E83521"/>
    <w:rsid w:val="00E845C9"/>
    <w:rsid w:val="00E858F5"/>
    <w:rsid w:val="00E92DD6"/>
    <w:rsid w:val="00E955CF"/>
    <w:rsid w:val="00EA0429"/>
    <w:rsid w:val="00EB7EE3"/>
    <w:rsid w:val="00EC00D1"/>
    <w:rsid w:val="00EC00E5"/>
    <w:rsid w:val="00EC3DF9"/>
    <w:rsid w:val="00ED02C0"/>
    <w:rsid w:val="00ED386D"/>
    <w:rsid w:val="00EE08AC"/>
    <w:rsid w:val="00EE6A19"/>
    <w:rsid w:val="00EE723D"/>
    <w:rsid w:val="00EF170D"/>
    <w:rsid w:val="00EF7411"/>
    <w:rsid w:val="00F00A43"/>
    <w:rsid w:val="00F00BC2"/>
    <w:rsid w:val="00F027B6"/>
    <w:rsid w:val="00F02C4B"/>
    <w:rsid w:val="00F10093"/>
    <w:rsid w:val="00F110B8"/>
    <w:rsid w:val="00F246B1"/>
    <w:rsid w:val="00F2631A"/>
    <w:rsid w:val="00F31205"/>
    <w:rsid w:val="00F31318"/>
    <w:rsid w:val="00F3146C"/>
    <w:rsid w:val="00F3221F"/>
    <w:rsid w:val="00F43E4C"/>
    <w:rsid w:val="00F467C3"/>
    <w:rsid w:val="00F60F0F"/>
    <w:rsid w:val="00F619AE"/>
    <w:rsid w:val="00F6331D"/>
    <w:rsid w:val="00F662DC"/>
    <w:rsid w:val="00F70BFF"/>
    <w:rsid w:val="00F84433"/>
    <w:rsid w:val="00F853A5"/>
    <w:rsid w:val="00F8735E"/>
    <w:rsid w:val="00F937E0"/>
    <w:rsid w:val="00F95018"/>
    <w:rsid w:val="00FC0BD1"/>
    <w:rsid w:val="00FC1F4F"/>
    <w:rsid w:val="00FC709E"/>
    <w:rsid w:val="00FD01B6"/>
    <w:rsid w:val="00FD600F"/>
    <w:rsid w:val="00FD66EC"/>
    <w:rsid w:val="00FD6CCF"/>
    <w:rsid w:val="00FD7180"/>
    <w:rsid w:val="00FE1B52"/>
    <w:rsid w:val="00FE2EFE"/>
    <w:rsid w:val="00FE785C"/>
    <w:rsid w:val="00FF571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661E5996"/>
  <w15:docId w15:val="{390F4052-ECB2-46BA-AAD1-AA69E9D6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EF3"/>
    <w:rPr>
      <w:rFonts w:ascii="Times New Roman" w:hAnsi="Times New Roman"/>
      <w:sz w:val="24"/>
    </w:rPr>
  </w:style>
  <w:style w:type="paragraph" w:styleId="Heading1">
    <w:name w:val="heading 1"/>
    <w:basedOn w:val="Normal"/>
    <w:next w:val="BodyText"/>
    <w:link w:val="Heading1Char"/>
    <w:uiPriority w:val="9"/>
    <w:qFormat/>
    <w:rsid w:val="005A1879"/>
    <w:pPr>
      <w:spacing w:before="240" w:after="840"/>
      <w:jc w:val="right"/>
      <w:outlineLvl w:val="0"/>
    </w:pPr>
    <w:rPr>
      <w:rFonts w:ascii="Arial Bold" w:hAnsi="Arial Bold" w:cs="Arial"/>
      <w:b/>
      <w:sz w:val="48"/>
      <w:szCs w:val="48"/>
    </w:rPr>
  </w:style>
  <w:style w:type="paragraph" w:styleId="Heading2">
    <w:name w:val="heading 2"/>
    <w:basedOn w:val="Normal"/>
    <w:next w:val="BodyText"/>
    <w:link w:val="Heading2Char"/>
    <w:qFormat/>
    <w:rsid w:val="005A1879"/>
    <w:pPr>
      <w:keepNext/>
      <w:keepLines/>
      <w:spacing w:before="240" w:after="180"/>
      <w:jc w:val="center"/>
      <w:outlineLvl w:val="1"/>
    </w:pPr>
    <w:rPr>
      <w:rFonts w:ascii="Times New Roman Bold" w:hAnsi="Times New Roman Bold"/>
      <w:b/>
      <w:caps/>
    </w:rPr>
  </w:style>
  <w:style w:type="paragraph" w:styleId="Heading3">
    <w:name w:val="heading 3"/>
    <w:basedOn w:val="Normal"/>
    <w:next w:val="BodyText"/>
    <w:link w:val="Heading3Char"/>
    <w:qFormat/>
    <w:rsid w:val="005A1879"/>
    <w:pPr>
      <w:keepNext/>
      <w:keepLines/>
      <w:spacing w:before="240" w:after="180"/>
      <w:ind w:left="720" w:hanging="720"/>
      <w:outlineLvl w:val="2"/>
    </w:pPr>
    <w:rPr>
      <w:b/>
    </w:rPr>
  </w:style>
  <w:style w:type="paragraph" w:styleId="Heading4">
    <w:name w:val="heading 4"/>
    <w:basedOn w:val="Normal"/>
    <w:next w:val="Normal"/>
    <w:qFormat/>
    <w:rsid w:val="002436D7"/>
    <w:pPr>
      <w:keepNext/>
      <w:keepLines/>
      <w:spacing w:before="240" w:after="180"/>
      <w:ind w:left="720" w:hanging="720"/>
      <w:outlineLvl w:val="3"/>
    </w:pPr>
    <w:rPr>
      <w:b/>
    </w:rPr>
  </w:style>
  <w:style w:type="paragraph" w:styleId="Heading5">
    <w:name w:val="heading 5"/>
    <w:basedOn w:val="Normal"/>
    <w:next w:val="Normal"/>
    <w:qFormat/>
    <w:rsid w:val="005A1879"/>
    <w:pPr>
      <w:keepNext/>
      <w:keepLines/>
      <w:spacing w:before="240" w:after="120"/>
      <w:ind w:left="720" w:hanging="720"/>
      <w:outlineLvl w:val="4"/>
    </w:pPr>
    <w:rPr>
      <w:i/>
      <w:szCs w:val="24"/>
    </w:rPr>
  </w:style>
  <w:style w:type="paragraph" w:styleId="Heading6">
    <w:name w:val="heading 6"/>
    <w:basedOn w:val="Normal"/>
    <w:next w:val="Normal"/>
    <w:qFormat/>
    <w:rsid w:val="00FE2EFE"/>
    <w:pPr>
      <w:keepNext/>
      <w:outlineLvl w:val="5"/>
    </w:pPr>
    <w:rPr>
      <w:rFonts w:ascii="Arial" w:hAnsi="Arial" w:cs="Arial"/>
      <w:b/>
      <w:bCs/>
      <w:sz w:val="22"/>
      <w:szCs w:val="22"/>
    </w:rPr>
  </w:style>
  <w:style w:type="paragraph" w:styleId="Heading7">
    <w:name w:val="heading 7"/>
    <w:basedOn w:val="Normal"/>
    <w:next w:val="Normal"/>
    <w:qFormat/>
    <w:rsid w:val="00FE2EFE"/>
    <w:pPr>
      <w:keepNext/>
      <w:spacing w:after="120"/>
      <w:ind w:left="720" w:hanging="720"/>
      <w:outlineLvl w:val="6"/>
    </w:pPr>
    <w:rPr>
      <w:szCs w:val="24"/>
    </w:rPr>
  </w:style>
  <w:style w:type="paragraph" w:styleId="Heading8">
    <w:name w:val="heading 8"/>
    <w:basedOn w:val="Normal"/>
    <w:next w:val="Normal"/>
    <w:qFormat/>
    <w:rsid w:val="00FE2EFE"/>
    <w:pPr>
      <w:keepNext/>
      <w:outlineLvl w:val="7"/>
    </w:pPr>
    <w:rPr>
      <w:rFonts w:ascii="Arial" w:hAnsi="Arial" w:cs="Arial"/>
      <w:b/>
      <w:bCs/>
      <w:sz w:val="20"/>
    </w:rPr>
  </w:style>
  <w:style w:type="paragraph" w:styleId="Heading9">
    <w:name w:val="heading 9"/>
    <w:basedOn w:val="Normal"/>
    <w:next w:val="Normal"/>
    <w:qFormat/>
    <w:rsid w:val="00726A9B"/>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5A1879"/>
    <w:rPr>
      <w:rFonts w:ascii="Times New Roman" w:hAnsi="Times New Roman"/>
      <w:b/>
      <w:sz w:val="24"/>
    </w:rPr>
  </w:style>
  <w:style w:type="paragraph" w:styleId="ListBullet">
    <w:name w:val="List Bullet"/>
    <w:basedOn w:val="Normal"/>
    <w:rsid w:val="00B828F0"/>
    <w:pPr>
      <w:numPr>
        <w:numId w:val="1"/>
      </w:numPr>
      <w:spacing w:after="240"/>
    </w:pPr>
  </w:style>
  <w:style w:type="paragraph" w:styleId="TOC5">
    <w:name w:val="toc 5"/>
    <w:basedOn w:val="Normal"/>
    <w:next w:val="Normal"/>
    <w:uiPriority w:val="39"/>
    <w:rsid w:val="005969D8"/>
    <w:pPr>
      <w:tabs>
        <w:tab w:val="right" w:leader="dot" w:pos="9360"/>
      </w:tabs>
      <w:ind w:left="540" w:right="720" w:hanging="540"/>
    </w:pPr>
    <w:rPr>
      <w:color w:val="0000FF"/>
    </w:rPr>
  </w:style>
  <w:style w:type="paragraph" w:styleId="TOC4">
    <w:name w:val="toc 4"/>
    <w:basedOn w:val="Normal"/>
    <w:next w:val="Normal"/>
    <w:rsid w:val="005969D8"/>
    <w:pPr>
      <w:tabs>
        <w:tab w:val="right" w:leader="dot" w:pos="9360"/>
      </w:tabs>
      <w:spacing w:before="60"/>
      <w:ind w:left="1080" w:right="630"/>
    </w:pPr>
    <w:rPr>
      <w:color w:val="0000FF"/>
    </w:rPr>
  </w:style>
  <w:style w:type="paragraph" w:styleId="TOC3">
    <w:name w:val="toc 3"/>
    <w:basedOn w:val="Normal"/>
    <w:next w:val="Normal"/>
    <w:uiPriority w:val="39"/>
    <w:rsid w:val="005969D8"/>
    <w:pPr>
      <w:tabs>
        <w:tab w:val="right" w:leader="dot" w:pos="9360"/>
      </w:tabs>
      <w:spacing w:before="80" w:after="40"/>
      <w:ind w:left="1620" w:right="720" w:hanging="720"/>
    </w:pPr>
    <w:rPr>
      <w:noProof/>
      <w:color w:val="0000FF"/>
      <w:szCs w:val="24"/>
    </w:rPr>
  </w:style>
  <w:style w:type="paragraph" w:styleId="TOC2">
    <w:name w:val="toc 2"/>
    <w:basedOn w:val="Normal"/>
    <w:next w:val="Normal"/>
    <w:uiPriority w:val="39"/>
    <w:rsid w:val="005969D8"/>
    <w:pPr>
      <w:tabs>
        <w:tab w:val="right" w:leader="dot" w:pos="9360"/>
      </w:tabs>
      <w:ind w:left="1080" w:right="720" w:hanging="540"/>
    </w:pPr>
    <w:rPr>
      <w:noProof/>
      <w:color w:val="0000FF"/>
    </w:rPr>
  </w:style>
  <w:style w:type="paragraph" w:styleId="TOC1">
    <w:name w:val="toc 1"/>
    <w:basedOn w:val="Normal"/>
    <w:next w:val="Normal"/>
    <w:uiPriority w:val="39"/>
    <w:rsid w:val="005969D8"/>
    <w:pPr>
      <w:tabs>
        <w:tab w:val="right" w:leader="dot" w:pos="9360"/>
      </w:tabs>
      <w:spacing w:before="240"/>
      <w:ind w:left="540" w:right="720" w:hanging="540"/>
    </w:pPr>
    <w:rPr>
      <w:noProof/>
      <w:color w:val="0000FF"/>
    </w:rPr>
  </w:style>
  <w:style w:type="paragraph" w:styleId="TableofFigures">
    <w:name w:val="table of figures"/>
    <w:basedOn w:val="Normal"/>
    <w:next w:val="Normal"/>
    <w:uiPriority w:val="99"/>
    <w:rsid w:val="005969D8"/>
    <w:pPr>
      <w:tabs>
        <w:tab w:val="right" w:leader="dot" w:pos="9350"/>
      </w:tabs>
      <w:ind w:left="547" w:right="720" w:hanging="547"/>
    </w:pPr>
    <w:rPr>
      <w:noProof/>
      <w:color w:val="0000FF"/>
    </w:rPr>
  </w:style>
  <w:style w:type="paragraph" w:styleId="Index2">
    <w:name w:val="index 2"/>
    <w:basedOn w:val="Normal"/>
    <w:next w:val="Normal"/>
    <w:semiHidden/>
    <w:rsid w:val="00726A9B"/>
    <w:pPr>
      <w:ind w:left="360"/>
    </w:pPr>
  </w:style>
  <w:style w:type="character" w:styleId="CommentReference">
    <w:name w:val="annotation reference"/>
    <w:uiPriority w:val="99"/>
    <w:rsid w:val="00F60F0F"/>
    <w:rPr>
      <w:sz w:val="16"/>
      <w:szCs w:val="16"/>
    </w:rPr>
  </w:style>
  <w:style w:type="paragraph" w:styleId="Header">
    <w:name w:val="header"/>
    <w:basedOn w:val="Normal"/>
    <w:link w:val="HeaderChar"/>
    <w:uiPriority w:val="99"/>
    <w:rsid w:val="00726A9B"/>
    <w:pPr>
      <w:tabs>
        <w:tab w:val="center" w:pos="4320"/>
        <w:tab w:val="right" w:pos="8640"/>
      </w:tabs>
    </w:pPr>
  </w:style>
  <w:style w:type="character" w:styleId="FootnoteReference">
    <w:name w:val="footnote reference"/>
    <w:uiPriority w:val="99"/>
    <w:rsid w:val="0090115D"/>
    <w:rPr>
      <w:color w:val="0000FF"/>
      <w:position w:val="6"/>
      <w:sz w:val="18"/>
    </w:rPr>
  </w:style>
  <w:style w:type="paragraph" w:styleId="FootnoteText">
    <w:name w:val="footnote text"/>
    <w:aliases w:val="Char18"/>
    <w:basedOn w:val="Normal"/>
    <w:link w:val="FootnoteTextChar"/>
    <w:uiPriority w:val="99"/>
    <w:qFormat/>
    <w:rsid w:val="00902DD8"/>
    <w:pPr>
      <w:spacing w:after="40"/>
      <w:ind w:left="274" w:hanging="274"/>
    </w:pPr>
    <w:rPr>
      <w:sz w:val="20"/>
    </w:rPr>
  </w:style>
  <w:style w:type="paragraph" w:customStyle="1" w:styleId="equation">
    <w:name w:val="equation"/>
    <w:rsid w:val="00E26F66"/>
    <w:pPr>
      <w:tabs>
        <w:tab w:val="center" w:pos="4680"/>
        <w:tab w:val="right" w:pos="9360"/>
      </w:tabs>
      <w:spacing w:after="240"/>
    </w:pPr>
    <w:rPr>
      <w:rFonts w:ascii="Times New Roman" w:hAnsi="Times New Roman"/>
      <w:sz w:val="24"/>
    </w:rPr>
  </w:style>
  <w:style w:type="paragraph" w:customStyle="1" w:styleId="Figurebox">
    <w:name w:val="Figurebox"/>
    <w:basedOn w:val="Normal"/>
    <w:rsid w:val="00726A9B"/>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2"/>
    <w:rsid w:val="005969D8"/>
    <w:pPr>
      <w:spacing w:after="240"/>
    </w:pPr>
  </w:style>
  <w:style w:type="paragraph" w:styleId="List">
    <w:name w:val="List"/>
    <w:basedOn w:val="Normal"/>
    <w:rsid w:val="00942846"/>
    <w:pPr>
      <w:spacing w:after="240"/>
      <w:ind w:left="1440" w:hanging="360"/>
    </w:pPr>
  </w:style>
  <w:style w:type="character" w:styleId="PageNumber">
    <w:name w:val="page number"/>
    <w:basedOn w:val="DefaultParagraphFont"/>
    <w:rsid w:val="00726A9B"/>
  </w:style>
  <w:style w:type="paragraph" w:customStyle="1" w:styleId="TableTitle">
    <w:name w:val="Table Title"/>
    <w:basedOn w:val="Caption"/>
    <w:uiPriority w:val="99"/>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uiPriority w:val="99"/>
    <w:rsid w:val="00726A9B"/>
    <w:pPr>
      <w:keepLines/>
      <w:spacing w:before="240" w:after="240"/>
    </w:pPr>
  </w:style>
  <w:style w:type="paragraph" w:customStyle="1" w:styleId="Bibliography1">
    <w:name w:val="Bibliography1"/>
    <w:basedOn w:val="Normal"/>
    <w:rsid w:val="00726A9B"/>
    <w:pPr>
      <w:keepLines/>
      <w:spacing w:after="240"/>
    </w:pPr>
  </w:style>
  <w:style w:type="paragraph" w:customStyle="1" w:styleId="NumberBullets">
    <w:name w:val="Number Bullets"/>
    <w:basedOn w:val="Normal"/>
    <w:semiHidden/>
    <w:rsid w:val="00726A9B"/>
    <w:pPr>
      <w:tabs>
        <w:tab w:val="left" w:pos="720"/>
      </w:tabs>
      <w:ind w:left="720" w:hanging="360"/>
    </w:pPr>
  </w:style>
  <w:style w:type="paragraph" w:styleId="BalloonText">
    <w:name w:val="Balloon Text"/>
    <w:basedOn w:val="Normal"/>
    <w:link w:val="BalloonTextChar"/>
    <w:uiPriority w:val="99"/>
    <w:rsid w:val="00726A9B"/>
    <w:rPr>
      <w:rFonts w:ascii="Arial" w:hAnsi="Arial" w:cs="Tahoma"/>
      <w:sz w:val="20"/>
      <w:szCs w:val="16"/>
    </w:rPr>
  </w:style>
  <w:style w:type="paragraph" w:customStyle="1" w:styleId="TitlePageTitle">
    <w:name w:val="TitlePage_Title"/>
    <w:basedOn w:val="Normal"/>
    <w:next w:val="Title"/>
    <w:rsid w:val="003B4855"/>
    <w:pPr>
      <w:spacing w:before="1560" w:after="240"/>
      <w:jc w:val="center"/>
    </w:pPr>
    <w:rPr>
      <w:caps/>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rsid w:val="00726A9B"/>
    <w:rPr>
      <w:sz w:val="20"/>
    </w:rPr>
  </w:style>
  <w:style w:type="character" w:customStyle="1" w:styleId="CommentTextChar">
    <w:name w:val="Comment Text Char"/>
    <w:link w:val="CommentText"/>
    <w:uiPriority w:val="99"/>
    <w:rsid w:val="003A7AF6"/>
    <w:rPr>
      <w:rFonts w:ascii="Times New Roman" w:hAnsi="Times New Roman"/>
    </w:rPr>
  </w:style>
  <w:style w:type="table" w:styleId="TableGrid">
    <w:name w:val="Table Grid"/>
    <w:basedOn w:val="TableNormal"/>
    <w:uiPriority w:val="39"/>
    <w:rsid w:val="00726A9B"/>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Caption"/>
    <w:uiPriority w:val="99"/>
    <w:rsid w:val="00726A9B"/>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726A9B"/>
  </w:style>
  <w:style w:type="character" w:styleId="Hyperlink">
    <w:name w:val="Hyperlink"/>
    <w:uiPriority w:val="99"/>
    <w:rsid w:val="00726A9B"/>
    <w:rPr>
      <w:color w:val="0000FF"/>
      <w:u w:val="single"/>
    </w:rPr>
  </w:style>
  <w:style w:type="paragraph" w:styleId="Footer">
    <w:name w:val="footer"/>
    <w:basedOn w:val="Normal"/>
    <w:link w:val="FooterChar"/>
    <w:uiPriority w:val="99"/>
    <w:rsid w:val="00B810E0"/>
    <w:pPr>
      <w:tabs>
        <w:tab w:val="center" w:pos="4680"/>
        <w:tab w:val="right" w:pos="9360"/>
      </w:tabs>
    </w:pPr>
  </w:style>
  <w:style w:type="paragraph" w:customStyle="1" w:styleId="TableTitleContinued">
    <w:name w:val="Table Title Continued"/>
    <w:basedOn w:val="TableTitle"/>
    <w:rsid w:val="00726A9B"/>
    <w:pPr>
      <w:spacing w:before="0"/>
    </w:pPr>
  </w:style>
  <w:style w:type="character" w:customStyle="1" w:styleId="FooterChar">
    <w:name w:val="Footer Char"/>
    <w:link w:val="Footer"/>
    <w:uiPriority w:val="99"/>
    <w:rsid w:val="00B810E0"/>
    <w:rPr>
      <w:rFonts w:ascii="Times New Roman" w:hAnsi="Times New Roman"/>
      <w:sz w:val="24"/>
    </w:r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3">
    <w:name w:val="App Heading 3"/>
    <w:basedOn w:val="Heading3"/>
    <w:rsid w:val="008D3AF8"/>
  </w:style>
  <w:style w:type="paragraph" w:customStyle="1" w:styleId="AppHeading4">
    <w:name w:val="App Heading 4"/>
    <w:basedOn w:val="Heading4"/>
    <w:rsid w:val="008D3AF8"/>
  </w:style>
  <w:style w:type="paragraph" w:customStyle="1" w:styleId="AppHeading2">
    <w:name w:val="App Heading 2"/>
    <w:basedOn w:val="Heading2"/>
    <w:rsid w:val="008D3AF8"/>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3A7AF6"/>
    <w:pPr>
      <w:jc w:val="center"/>
    </w:pPr>
    <w:rPr>
      <w:szCs w:val="16"/>
    </w:rPr>
  </w:style>
  <w:style w:type="character" w:customStyle="1" w:styleId="BodyText3Char">
    <w:name w:val="Body Text 3 Char"/>
    <w:link w:val="BodyText3"/>
    <w:rsid w:val="003A7AF6"/>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uiPriority w:val="99"/>
    <w:rsid w:val="00F60F0F"/>
    <w:rPr>
      <w:b/>
      <w:bCs/>
    </w:rPr>
  </w:style>
  <w:style w:type="character" w:customStyle="1" w:styleId="CommentSubjectChar">
    <w:name w:val="Comment Subject Char"/>
    <w:link w:val="CommentSubject"/>
    <w:uiPriority w:val="99"/>
    <w:rsid w:val="00F60F0F"/>
    <w:rPr>
      <w:rFonts w:ascii="Times New Roman" w:hAnsi="Times New Roman"/>
      <w:b/>
      <w:bCs/>
    </w:rPr>
  </w:style>
  <w:style w:type="paragraph" w:styleId="ListBullet2">
    <w:name w:val="List Bullet 2"/>
    <w:basedOn w:val="Normal"/>
    <w:rsid w:val="00B828F0"/>
    <w:pPr>
      <w:numPr>
        <w:numId w:val="2"/>
      </w:numPr>
      <w:spacing w:after="240"/>
    </w:pPr>
  </w:style>
  <w:style w:type="paragraph" w:styleId="ListBullet3">
    <w:name w:val="List Bullet 3"/>
    <w:basedOn w:val="Normal"/>
    <w:rsid w:val="00B828F0"/>
    <w:pPr>
      <w:numPr>
        <w:numId w:val="3"/>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5"/>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304B64"/>
    <w:pPr>
      <w:keepNext/>
      <w:spacing w:before="80" w:after="80"/>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TOCHead">
    <w:name w:val="TOC Head"/>
    <w:basedOn w:val="Normal"/>
    <w:qFormat/>
    <w:rsid w:val="005969D8"/>
    <w:pPr>
      <w:keepNext/>
      <w:tabs>
        <w:tab w:val="right" w:leader="dot" w:pos="9360"/>
      </w:tabs>
      <w:spacing w:before="240"/>
    </w:pPr>
  </w:style>
  <w:style w:type="character" w:customStyle="1" w:styleId="Heading1Char">
    <w:name w:val="Heading 1 Char"/>
    <w:basedOn w:val="DefaultParagraphFont"/>
    <w:link w:val="Heading1"/>
    <w:uiPriority w:val="9"/>
    <w:rsid w:val="00C521EC"/>
    <w:rPr>
      <w:rFonts w:ascii="Arial Bold" w:hAnsi="Arial Bold" w:cs="Arial"/>
      <w:b/>
      <w:sz w:val="48"/>
      <w:szCs w:val="48"/>
    </w:rPr>
  </w:style>
  <w:style w:type="character" w:customStyle="1" w:styleId="Heading2Char">
    <w:name w:val="Heading 2 Char"/>
    <w:basedOn w:val="DefaultParagraphFont"/>
    <w:link w:val="Heading2"/>
    <w:rsid w:val="00C521EC"/>
    <w:rPr>
      <w:rFonts w:ascii="Times New Roman Bold" w:hAnsi="Times New Roman Bold"/>
      <w:b/>
      <w:caps/>
      <w:sz w:val="24"/>
    </w:rPr>
  </w:style>
  <w:style w:type="character" w:customStyle="1" w:styleId="HeaderChar">
    <w:name w:val="Header Char"/>
    <w:basedOn w:val="DefaultParagraphFont"/>
    <w:link w:val="Header"/>
    <w:uiPriority w:val="99"/>
    <w:rsid w:val="00C521EC"/>
    <w:rPr>
      <w:rFonts w:ascii="Times New Roman" w:hAnsi="Times New Roman"/>
      <w:sz w:val="24"/>
    </w:rPr>
  </w:style>
  <w:style w:type="character" w:customStyle="1" w:styleId="FootnoteTextChar">
    <w:name w:val="Footnote Text Char"/>
    <w:aliases w:val="Char18 Char"/>
    <w:basedOn w:val="DefaultParagraphFont"/>
    <w:link w:val="FootnoteText"/>
    <w:uiPriority w:val="99"/>
    <w:rsid w:val="00902DD8"/>
    <w:rPr>
      <w:rFonts w:ascii="Times New Roman" w:hAnsi="Times New Roman"/>
    </w:rPr>
  </w:style>
  <w:style w:type="character" w:customStyle="1" w:styleId="BalloonTextChar">
    <w:name w:val="Balloon Text Char"/>
    <w:basedOn w:val="DefaultParagraphFont"/>
    <w:link w:val="BalloonText"/>
    <w:uiPriority w:val="99"/>
    <w:rsid w:val="00C521EC"/>
    <w:rPr>
      <w:rFonts w:ascii="Arial" w:hAnsi="Arial" w:cs="Tahoma"/>
      <w:szCs w:val="16"/>
    </w:rPr>
  </w:style>
  <w:style w:type="paragraph" w:customStyle="1" w:styleId="AppHeading1">
    <w:name w:val="App Heading 1"/>
    <w:basedOn w:val="Heading1"/>
    <w:rsid w:val="00C521EC"/>
    <w:pPr>
      <w:spacing w:after="180"/>
      <w:jc w:val="center"/>
    </w:pPr>
    <w:rPr>
      <w:rFonts w:ascii="Times New Roman" w:hAnsi="Times New Roman" w:cs="Times New Roman"/>
      <w:caps/>
      <w:sz w:val="24"/>
      <w:szCs w:val="24"/>
    </w:rPr>
  </w:style>
  <w:style w:type="paragraph" w:styleId="ListParagraph">
    <w:name w:val="List Paragraph"/>
    <w:aliases w:val="Bulleted List Level 1"/>
    <w:basedOn w:val="Normal"/>
    <w:uiPriority w:val="34"/>
    <w:qFormat/>
    <w:rsid w:val="00E26F66"/>
    <w:pPr>
      <w:spacing w:after="240"/>
      <w:ind w:left="1080" w:hanging="360"/>
    </w:pPr>
    <w:rPr>
      <w:rFonts w:eastAsiaTheme="minorEastAsia"/>
      <w:szCs w:val="24"/>
    </w:rPr>
  </w:style>
  <w:style w:type="paragraph" w:styleId="BlockText">
    <w:name w:val="Block Text"/>
    <w:basedOn w:val="Normal"/>
    <w:rsid w:val="00C521EC"/>
    <w:pPr>
      <w:spacing w:after="240" w:line="320" w:lineRule="exact"/>
      <w:ind w:left="720" w:right="720"/>
    </w:pPr>
    <w:rPr>
      <w:rFonts w:eastAsiaTheme="minorEastAsia" w:cstheme="minorBidi"/>
      <w:iCs/>
    </w:rPr>
  </w:style>
  <w:style w:type="character" w:customStyle="1" w:styleId="bodytextChar0">
    <w:name w:val="body text Char"/>
    <w:basedOn w:val="DefaultParagraphFont"/>
    <w:link w:val="BodyText1"/>
    <w:locked/>
    <w:rsid w:val="00C521EC"/>
    <w:rPr>
      <w:rFonts w:ascii="Times New Roman" w:hAnsi="Times New Roman"/>
      <w:sz w:val="24"/>
    </w:rPr>
  </w:style>
  <w:style w:type="paragraph" w:customStyle="1" w:styleId="BodyText1">
    <w:name w:val="Body Text1"/>
    <w:basedOn w:val="Normal"/>
    <w:link w:val="bodytextChar0"/>
    <w:rsid w:val="00C521EC"/>
    <w:pPr>
      <w:spacing w:after="240"/>
      <w:ind w:firstLine="720"/>
    </w:pPr>
  </w:style>
  <w:style w:type="paragraph" w:styleId="NormalWeb">
    <w:name w:val="Normal (Web)"/>
    <w:basedOn w:val="Normal"/>
    <w:uiPriority w:val="99"/>
    <w:unhideWhenUsed/>
    <w:rsid w:val="00C521EC"/>
    <w:pPr>
      <w:spacing w:before="100" w:beforeAutospacing="1" w:after="100" w:afterAutospacing="1"/>
    </w:pPr>
    <w:rPr>
      <w:rFonts w:ascii="Arial" w:hAnsi="Arial" w:cs="Arial"/>
      <w:szCs w:val="24"/>
    </w:rPr>
  </w:style>
  <w:style w:type="paragraph" w:styleId="BodyTextIndent">
    <w:name w:val="Body Text Indent"/>
    <w:basedOn w:val="Normal"/>
    <w:link w:val="BodyTextIndentChar"/>
    <w:rsid w:val="007F7FDE"/>
    <w:pPr>
      <w:spacing w:before="240" w:after="240"/>
      <w:ind w:left="720"/>
    </w:pPr>
  </w:style>
  <w:style w:type="character" w:customStyle="1" w:styleId="BodyTextIndentChar">
    <w:name w:val="Body Text Indent Char"/>
    <w:basedOn w:val="DefaultParagraphFont"/>
    <w:link w:val="BodyTextIndent"/>
    <w:rsid w:val="007F7FDE"/>
    <w:rPr>
      <w:rFonts w:ascii="Times New Roman" w:hAnsi="Times New Roman"/>
      <w:sz w:val="24"/>
    </w:rPr>
  </w:style>
  <w:style w:type="paragraph" w:customStyle="1" w:styleId="Paraheaders">
    <w:name w:val="Paraheaders"/>
    <w:basedOn w:val="Normal"/>
    <w:qFormat/>
    <w:rsid w:val="00C521EC"/>
    <w:pPr>
      <w:keepNext/>
      <w:spacing w:before="160" w:after="160"/>
    </w:pPr>
    <w:rPr>
      <w:rFonts w:ascii="Calibri" w:eastAsia="Calibri" w:hAnsi="Calibri"/>
      <w:b/>
      <w:bCs/>
      <w:szCs w:val="22"/>
    </w:rPr>
  </w:style>
  <w:style w:type="paragraph" w:customStyle="1" w:styleId="Default">
    <w:name w:val="Default"/>
    <w:rsid w:val="00C521EC"/>
    <w:pPr>
      <w:autoSpaceDE w:val="0"/>
      <w:autoSpaceDN w:val="0"/>
      <w:adjustRightInd w:val="0"/>
    </w:pPr>
    <w:rPr>
      <w:rFonts w:ascii="Arial Black" w:eastAsiaTheme="minorHAnsi" w:hAnsi="Arial Black" w:cs="Arial Black"/>
      <w:color w:val="000000"/>
      <w:sz w:val="24"/>
      <w:szCs w:val="24"/>
    </w:rPr>
  </w:style>
  <w:style w:type="paragraph" w:customStyle="1" w:styleId="bullets">
    <w:name w:val="bullets"/>
    <w:basedOn w:val="Normal"/>
    <w:uiPriority w:val="99"/>
    <w:rsid w:val="00C521EC"/>
    <w:pPr>
      <w:tabs>
        <w:tab w:val="num" w:pos="1080"/>
      </w:tabs>
      <w:spacing w:after="240"/>
      <w:ind w:left="1080" w:hanging="360"/>
    </w:pPr>
  </w:style>
  <w:style w:type="character" w:styleId="Emphasis">
    <w:name w:val="Emphasis"/>
    <w:basedOn w:val="DefaultParagraphFont"/>
    <w:uiPriority w:val="20"/>
    <w:qFormat/>
    <w:rsid w:val="00C521EC"/>
    <w:rPr>
      <w:i/>
      <w:iCs/>
    </w:rPr>
  </w:style>
  <w:style w:type="paragraph" w:styleId="DocumentMap">
    <w:name w:val="Document Map"/>
    <w:basedOn w:val="Normal"/>
    <w:link w:val="DocumentMapChar"/>
    <w:uiPriority w:val="99"/>
    <w:unhideWhenUsed/>
    <w:rsid w:val="00C521EC"/>
    <w:rPr>
      <w:rFonts w:ascii="Tahoma" w:eastAsiaTheme="minorHAnsi" w:hAnsi="Tahoma" w:cs="Tahoma"/>
      <w:sz w:val="16"/>
      <w:szCs w:val="16"/>
    </w:rPr>
  </w:style>
  <w:style w:type="character" w:customStyle="1" w:styleId="DocumentMapChar">
    <w:name w:val="Document Map Char"/>
    <w:basedOn w:val="DefaultParagraphFont"/>
    <w:link w:val="DocumentMap"/>
    <w:uiPriority w:val="99"/>
    <w:rsid w:val="00C521EC"/>
    <w:rPr>
      <w:rFonts w:ascii="Tahoma" w:eastAsiaTheme="minorHAnsi" w:hAnsi="Tahoma" w:cs="Tahoma"/>
      <w:sz w:val="16"/>
      <w:szCs w:val="16"/>
    </w:rPr>
  </w:style>
  <w:style w:type="paragraph" w:styleId="EndnoteText">
    <w:name w:val="endnote text"/>
    <w:basedOn w:val="Normal"/>
    <w:link w:val="EndnoteTextChar"/>
    <w:uiPriority w:val="99"/>
    <w:unhideWhenUsed/>
    <w:rsid w:val="00C521EC"/>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C521EC"/>
    <w:rPr>
      <w:rFonts w:asciiTheme="minorHAnsi" w:eastAsiaTheme="minorHAnsi" w:hAnsiTheme="minorHAnsi" w:cstheme="minorBidi"/>
    </w:rPr>
  </w:style>
  <w:style w:type="character" w:styleId="EndnoteReference">
    <w:name w:val="endnote reference"/>
    <w:basedOn w:val="DefaultParagraphFont"/>
    <w:uiPriority w:val="99"/>
    <w:unhideWhenUsed/>
    <w:rsid w:val="00C521EC"/>
    <w:rPr>
      <w:vertAlign w:val="superscript"/>
    </w:rPr>
  </w:style>
  <w:style w:type="paragraph" w:styleId="ListNumber">
    <w:name w:val="List Number"/>
    <w:basedOn w:val="Normal"/>
    <w:rsid w:val="00C521EC"/>
    <w:pPr>
      <w:numPr>
        <w:numId w:val="7"/>
      </w:numPr>
      <w:spacing w:after="120"/>
    </w:pPr>
  </w:style>
  <w:style w:type="paragraph" w:styleId="ListContinue">
    <w:name w:val="List Continue"/>
    <w:basedOn w:val="Normal"/>
    <w:rsid w:val="00C521EC"/>
    <w:pPr>
      <w:spacing w:after="240"/>
      <w:ind w:left="720"/>
    </w:pPr>
  </w:style>
  <w:style w:type="paragraph" w:styleId="Bibliography">
    <w:name w:val="Bibliography"/>
    <w:basedOn w:val="Normal"/>
    <w:next w:val="Normal"/>
    <w:uiPriority w:val="37"/>
    <w:unhideWhenUsed/>
    <w:rsid w:val="00C521EC"/>
  </w:style>
  <w:style w:type="character" w:styleId="FollowedHyperlink">
    <w:name w:val="FollowedHyperlink"/>
    <w:basedOn w:val="DefaultParagraphFont"/>
    <w:rsid w:val="00C521EC"/>
    <w:rPr>
      <w:color w:val="800080" w:themeColor="followedHyperlink"/>
      <w:u w:val="single"/>
    </w:rPr>
  </w:style>
  <w:style w:type="paragraph" w:styleId="Revision">
    <w:name w:val="Revision"/>
    <w:hidden/>
    <w:uiPriority w:val="99"/>
    <w:semiHidden/>
    <w:rsid w:val="00C521EC"/>
    <w:rPr>
      <w:rFonts w:ascii="Times New Roman" w:hAnsi="Times New Roman"/>
      <w:sz w:val="24"/>
    </w:rPr>
  </w:style>
  <w:style w:type="paragraph" w:customStyle="1" w:styleId="anum1">
    <w:name w:val="anum1"/>
    <w:basedOn w:val="Normal"/>
    <w:uiPriority w:val="1"/>
    <w:qFormat/>
    <w:rsid w:val="00C521EC"/>
    <w:pPr>
      <w:widowControl w:val="0"/>
      <w:spacing w:before="20" w:after="20"/>
    </w:pPr>
    <w:rPr>
      <w:rFonts w:ascii="Arial" w:eastAsiaTheme="minorHAnsi" w:hAnsi="Arial" w:cstheme="minorBidi"/>
      <w:b/>
      <w:sz w:val="20"/>
    </w:rPr>
  </w:style>
  <w:style w:type="paragraph" w:customStyle="1" w:styleId="abox">
    <w:name w:val="abox"/>
    <w:basedOn w:val="Normal"/>
    <w:uiPriority w:val="1"/>
    <w:qFormat/>
    <w:rsid w:val="00C521EC"/>
    <w:pPr>
      <w:widowControl w:val="0"/>
      <w:spacing w:before="20" w:after="20"/>
      <w:jc w:val="center"/>
    </w:pPr>
    <w:rPr>
      <w:rFonts w:ascii="Arial" w:eastAsiaTheme="minorHAnsi" w:hAnsi="Arial" w:cstheme="minorBidi"/>
      <w:sz w:val="18"/>
      <w:szCs w:val="22"/>
    </w:rPr>
  </w:style>
  <w:style w:type="paragraph" w:customStyle="1" w:styleId="0BlankPage">
    <w:name w:val="0_BlankPage"/>
    <w:basedOn w:val="Normal"/>
    <w:qFormat/>
    <w:rsid w:val="00C521EC"/>
    <w:pPr>
      <w:pageBreakBefore/>
      <w:tabs>
        <w:tab w:val="left" w:pos="1440"/>
        <w:tab w:val="right" w:leader="dot" w:pos="9350"/>
      </w:tabs>
      <w:spacing w:before="2400"/>
      <w:jc w:val="center"/>
    </w:pPr>
    <w:rPr>
      <w:i/>
    </w:rPr>
  </w:style>
  <w:style w:type="paragraph" w:customStyle="1" w:styleId="EndNoteBibliographyTitle">
    <w:name w:val="EndNote Bibliography Title"/>
    <w:basedOn w:val="Normal"/>
    <w:link w:val="EndNoteBibliographyTitleChar"/>
    <w:rsid w:val="00C521EC"/>
    <w:pPr>
      <w:jc w:val="center"/>
    </w:pPr>
    <w:rPr>
      <w:noProof/>
    </w:rPr>
  </w:style>
  <w:style w:type="character" w:customStyle="1" w:styleId="EndNoteBibliographyTitleChar">
    <w:name w:val="EndNote Bibliography Title Char"/>
    <w:basedOn w:val="BodyTextChar"/>
    <w:link w:val="EndNoteBibliographyTitle"/>
    <w:rsid w:val="00C521EC"/>
    <w:rPr>
      <w:rFonts w:ascii="Times New Roman" w:hAnsi="Times New Roman"/>
      <w:noProof/>
      <w:sz w:val="24"/>
    </w:rPr>
  </w:style>
  <w:style w:type="paragraph" w:customStyle="1" w:styleId="EndNoteBibliography">
    <w:name w:val="EndNote Bibliography"/>
    <w:basedOn w:val="Normal"/>
    <w:link w:val="EndNoteBibliographyChar"/>
    <w:rsid w:val="00C521EC"/>
    <w:rPr>
      <w:noProof/>
    </w:rPr>
  </w:style>
  <w:style w:type="character" w:customStyle="1" w:styleId="EndNoteBibliographyChar">
    <w:name w:val="EndNote Bibliography Char"/>
    <w:basedOn w:val="BodyTextChar"/>
    <w:link w:val="EndNoteBibliography"/>
    <w:rsid w:val="00C521EC"/>
    <w:rPr>
      <w:rFonts w:ascii="Times New Roman" w:hAnsi="Times New Roman"/>
      <w:noProof/>
      <w:sz w:val="24"/>
    </w:rPr>
  </w:style>
  <w:style w:type="paragraph" w:styleId="ListContinue2">
    <w:name w:val="List Continue 2"/>
    <w:basedOn w:val="Normal"/>
    <w:unhideWhenUsed/>
    <w:rsid w:val="00C521EC"/>
    <w:pPr>
      <w:spacing w:after="120"/>
      <w:ind w:left="720"/>
      <w:contextualSpacing/>
    </w:pPr>
  </w:style>
  <w:style w:type="paragraph" w:styleId="ListContinue3">
    <w:name w:val="List Continue 3"/>
    <w:basedOn w:val="Normal"/>
    <w:unhideWhenUsed/>
    <w:rsid w:val="00C521EC"/>
    <w:pPr>
      <w:spacing w:after="120"/>
      <w:ind w:left="1080"/>
      <w:contextualSpacing/>
    </w:pPr>
  </w:style>
  <w:style w:type="paragraph" w:styleId="ListContinue5">
    <w:name w:val="List Continue 5"/>
    <w:basedOn w:val="Normal"/>
    <w:unhideWhenUsed/>
    <w:rsid w:val="00C521EC"/>
    <w:pPr>
      <w:spacing w:after="120"/>
      <w:ind w:left="1800"/>
      <w:contextualSpacing/>
    </w:pPr>
  </w:style>
  <w:style w:type="paragraph" w:styleId="ListContinue4">
    <w:name w:val="List Continue 4"/>
    <w:basedOn w:val="Normal"/>
    <w:unhideWhenUsed/>
    <w:rsid w:val="00C521EC"/>
    <w:pPr>
      <w:spacing w:after="120"/>
      <w:ind w:left="1440"/>
      <w:contextualSpacing/>
    </w:pPr>
  </w:style>
  <w:style w:type="paragraph" w:styleId="List2">
    <w:name w:val="List 2"/>
    <w:basedOn w:val="Normal"/>
    <w:unhideWhenUsed/>
    <w:rsid w:val="00C521EC"/>
    <w:pPr>
      <w:ind w:left="720" w:hanging="360"/>
      <w:contextualSpacing/>
    </w:pPr>
  </w:style>
  <w:style w:type="paragraph" w:styleId="List3">
    <w:name w:val="List 3"/>
    <w:basedOn w:val="Normal"/>
    <w:unhideWhenUsed/>
    <w:rsid w:val="00C521EC"/>
    <w:pPr>
      <w:ind w:left="1080" w:hanging="360"/>
      <w:contextualSpacing/>
    </w:pPr>
  </w:style>
  <w:style w:type="paragraph" w:styleId="List4">
    <w:name w:val="List 4"/>
    <w:basedOn w:val="Normal"/>
    <w:rsid w:val="002B18D5"/>
    <w:pPr>
      <w:spacing w:after="240"/>
      <w:ind w:left="1080"/>
    </w:pPr>
  </w:style>
  <w:style w:type="paragraph" w:styleId="List5">
    <w:name w:val="List 5"/>
    <w:basedOn w:val="Normal"/>
    <w:rsid w:val="00C521EC"/>
    <w:pPr>
      <w:ind w:left="1800" w:hanging="360"/>
      <w:contextualSpacing/>
    </w:pPr>
  </w:style>
  <w:style w:type="paragraph" w:styleId="ListNumber2">
    <w:name w:val="List Number 2"/>
    <w:basedOn w:val="Normal"/>
    <w:unhideWhenUsed/>
    <w:rsid w:val="00C521EC"/>
    <w:pPr>
      <w:numPr>
        <w:numId w:val="4"/>
      </w:numPr>
      <w:spacing w:after="240"/>
    </w:pPr>
  </w:style>
  <w:style w:type="paragraph" w:customStyle="1" w:styleId="bullets-2ndlevel">
    <w:name w:val="bullets-2nd level"/>
    <w:basedOn w:val="bullets"/>
    <w:uiPriority w:val="99"/>
    <w:rsid w:val="00622965"/>
    <w:pPr>
      <w:tabs>
        <w:tab w:val="clear" w:pos="1080"/>
        <w:tab w:val="num" w:pos="1440"/>
      </w:tabs>
      <w:ind w:left="1440"/>
    </w:pPr>
  </w:style>
  <w:style w:type="paragraph" w:customStyle="1" w:styleId="bullets-3rdlevel">
    <w:name w:val="bullets-3rd level"/>
    <w:basedOn w:val="bullets"/>
    <w:uiPriority w:val="99"/>
    <w:rsid w:val="00622965"/>
    <w:pPr>
      <w:tabs>
        <w:tab w:val="clear" w:pos="1080"/>
        <w:tab w:val="num" w:pos="2160"/>
      </w:tabs>
      <w:ind w:left="2160"/>
    </w:pPr>
  </w:style>
  <w:style w:type="character" w:customStyle="1" w:styleId="st">
    <w:name w:val="st"/>
    <w:basedOn w:val="DefaultParagraphFont"/>
    <w:rsid w:val="0054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0142">
      <w:bodyDiv w:val="1"/>
      <w:marLeft w:val="0"/>
      <w:marRight w:val="0"/>
      <w:marTop w:val="0"/>
      <w:marBottom w:val="0"/>
      <w:divBdr>
        <w:top w:val="none" w:sz="0" w:space="0" w:color="auto"/>
        <w:left w:val="none" w:sz="0" w:space="0" w:color="auto"/>
        <w:bottom w:val="none" w:sz="0" w:space="0" w:color="auto"/>
        <w:right w:val="none" w:sz="0" w:space="0" w:color="auto"/>
      </w:divBdr>
    </w:div>
    <w:div w:id="367533562">
      <w:bodyDiv w:val="1"/>
      <w:marLeft w:val="0"/>
      <w:marRight w:val="0"/>
      <w:marTop w:val="0"/>
      <w:marBottom w:val="0"/>
      <w:divBdr>
        <w:top w:val="none" w:sz="0" w:space="0" w:color="auto"/>
        <w:left w:val="none" w:sz="0" w:space="0" w:color="auto"/>
        <w:bottom w:val="none" w:sz="0" w:space="0" w:color="auto"/>
        <w:right w:val="none" w:sz="0" w:space="0" w:color="auto"/>
      </w:divBdr>
    </w:div>
    <w:div w:id="458762391">
      <w:bodyDiv w:val="1"/>
      <w:marLeft w:val="0"/>
      <w:marRight w:val="0"/>
      <w:marTop w:val="0"/>
      <w:marBottom w:val="0"/>
      <w:divBdr>
        <w:top w:val="none" w:sz="0" w:space="0" w:color="auto"/>
        <w:left w:val="none" w:sz="0" w:space="0" w:color="auto"/>
        <w:bottom w:val="none" w:sz="0" w:space="0" w:color="auto"/>
        <w:right w:val="none" w:sz="0" w:space="0" w:color="auto"/>
      </w:divBdr>
    </w:div>
    <w:div w:id="490875790">
      <w:bodyDiv w:val="1"/>
      <w:marLeft w:val="0"/>
      <w:marRight w:val="0"/>
      <w:marTop w:val="0"/>
      <w:marBottom w:val="0"/>
      <w:divBdr>
        <w:top w:val="none" w:sz="0" w:space="0" w:color="auto"/>
        <w:left w:val="none" w:sz="0" w:space="0" w:color="auto"/>
        <w:bottom w:val="none" w:sz="0" w:space="0" w:color="auto"/>
        <w:right w:val="none" w:sz="0" w:space="0" w:color="auto"/>
      </w:divBdr>
    </w:div>
    <w:div w:id="611672216">
      <w:bodyDiv w:val="1"/>
      <w:marLeft w:val="0"/>
      <w:marRight w:val="0"/>
      <w:marTop w:val="0"/>
      <w:marBottom w:val="0"/>
      <w:divBdr>
        <w:top w:val="none" w:sz="0" w:space="0" w:color="auto"/>
        <w:left w:val="none" w:sz="0" w:space="0" w:color="auto"/>
        <w:bottom w:val="none" w:sz="0" w:space="0" w:color="auto"/>
        <w:right w:val="none" w:sz="0" w:space="0" w:color="auto"/>
      </w:divBdr>
    </w:div>
    <w:div w:id="639460897">
      <w:bodyDiv w:val="1"/>
      <w:marLeft w:val="0"/>
      <w:marRight w:val="0"/>
      <w:marTop w:val="0"/>
      <w:marBottom w:val="0"/>
      <w:divBdr>
        <w:top w:val="none" w:sz="0" w:space="0" w:color="auto"/>
        <w:left w:val="none" w:sz="0" w:space="0" w:color="auto"/>
        <w:bottom w:val="none" w:sz="0" w:space="0" w:color="auto"/>
        <w:right w:val="none" w:sz="0" w:space="0" w:color="auto"/>
      </w:divBdr>
    </w:div>
    <w:div w:id="849105633">
      <w:bodyDiv w:val="1"/>
      <w:marLeft w:val="0"/>
      <w:marRight w:val="0"/>
      <w:marTop w:val="0"/>
      <w:marBottom w:val="0"/>
      <w:divBdr>
        <w:top w:val="none" w:sz="0" w:space="0" w:color="auto"/>
        <w:left w:val="none" w:sz="0" w:space="0" w:color="auto"/>
        <w:bottom w:val="none" w:sz="0" w:space="0" w:color="auto"/>
        <w:right w:val="none" w:sz="0" w:space="0" w:color="auto"/>
      </w:divBdr>
    </w:div>
    <w:div w:id="998113407">
      <w:bodyDiv w:val="1"/>
      <w:marLeft w:val="0"/>
      <w:marRight w:val="0"/>
      <w:marTop w:val="0"/>
      <w:marBottom w:val="0"/>
      <w:divBdr>
        <w:top w:val="none" w:sz="0" w:space="0" w:color="auto"/>
        <w:left w:val="none" w:sz="0" w:space="0" w:color="auto"/>
        <w:bottom w:val="none" w:sz="0" w:space="0" w:color="auto"/>
        <w:right w:val="none" w:sz="0" w:space="0" w:color="auto"/>
      </w:divBdr>
    </w:div>
    <w:div w:id="1047338967">
      <w:bodyDiv w:val="1"/>
      <w:marLeft w:val="0"/>
      <w:marRight w:val="0"/>
      <w:marTop w:val="0"/>
      <w:marBottom w:val="0"/>
      <w:divBdr>
        <w:top w:val="none" w:sz="0" w:space="0" w:color="auto"/>
        <w:left w:val="none" w:sz="0" w:space="0" w:color="auto"/>
        <w:bottom w:val="none" w:sz="0" w:space="0" w:color="auto"/>
        <w:right w:val="none" w:sz="0" w:space="0" w:color="auto"/>
      </w:divBdr>
    </w:div>
    <w:div w:id="1269268408">
      <w:bodyDiv w:val="1"/>
      <w:marLeft w:val="0"/>
      <w:marRight w:val="0"/>
      <w:marTop w:val="0"/>
      <w:marBottom w:val="0"/>
      <w:divBdr>
        <w:top w:val="none" w:sz="0" w:space="0" w:color="auto"/>
        <w:left w:val="none" w:sz="0" w:space="0" w:color="auto"/>
        <w:bottom w:val="none" w:sz="0" w:space="0" w:color="auto"/>
        <w:right w:val="none" w:sz="0" w:space="0" w:color="auto"/>
      </w:divBdr>
    </w:div>
    <w:div w:id="1852059707">
      <w:bodyDiv w:val="1"/>
      <w:marLeft w:val="0"/>
      <w:marRight w:val="0"/>
      <w:marTop w:val="0"/>
      <w:marBottom w:val="0"/>
      <w:divBdr>
        <w:top w:val="none" w:sz="0" w:space="0" w:color="auto"/>
        <w:left w:val="none" w:sz="0" w:space="0" w:color="auto"/>
        <w:bottom w:val="none" w:sz="0" w:space="0" w:color="auto"/>
        <w:right w:val="none" w:sz="0" w:space="0" w:color="auto"/>
      </w:divBdr>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edicare.gov/nursinghomecompare/search.html"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track.us/congress/bills/113/hr499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notes.xml.rels><?xml version="1.0" encoding="UTF-8" standalone="yes"?>
<Relationships xmlns="http://schemas.openxmlformats.org/package/2006/relationships"><Relationship Id="rId3" Type="http://schemas.openxmlformats.org/officeDocument/2006/relationships/hyperlink" Target="http://www.hcup-us.ahrq.gov/reports/statbriefs/sb64.pdf" TargetMode="External"/><Relationship Id="rId7" Type="http://schemas.openxmlformats.org/officeDocument/2006/relationships/hyperlink" Target="https://www.nhqualitycampaign.org/goals.aspx" TargetMode="External"/><Relationship Id="rId2" Type="http://schemas.openxmlformats.org/officeDocument/2006/relationships/hyperlink" Target="http://www.ihi.org/IHI/Topics/PatientSafety/SafetyGeneral/ImprovementStories/FSRelievethePressureandReduceHarm.htm" TargetMode="External"/><Relationship Id="rId1" Type="http://schemas.openxmlformats.org/officeDocument/2006/relationships/hyperlink" Target="http://www.cdc.gov/nchs/data/databriefs/db14.htm" TargetMode="External"/><Relationship Id="rId6" Type="http://schemas.openxmlformats.org/officeDocument/2006/relationships/hyperlink" Target="http://innovation.cms.gov/Files/x/HospAcquiredConditionsRTC.pdf" TargetMode="External"/><Relationship Id="rId5" Type="http://schemas.openxmlformats.org/officeDocument/2006/relationships/hyperlink" Target="http://www.amda.com/publications/caring/march2003/policies.cfm" TargetMode="External"/><Relationship Id="rId4" Type="http://schemas.openxmlformats.org/officeDocument/2006/relationships/hyperlink" Target="http://www.ahrq.gov/research/jan09/0109RA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2A42-81F7-4DC7-9C5D-61B35350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Long-Term Care Hospital Quality Reporting Program - Specifications for the Quality Measures Proposed through the Fiscal Year 2016 Notice of Proposed Rule Making</vt:lpstr>
    </vt:vector>
  </TitlesOfParts>
  <Company>RTI International</Company>
  <LinksUpToDate>false</LinksUpToDate>
  <CharactersWithSpaces>25010</CharactersWithSpaces>
  <SharedDoc>false</SharedDoc>
  <HLinks>
    <vt:vector size="108" baseType="variant">
      <vt:variant>
        <vt:i4>1048624</vt:i4>
      </vt:variant>
      <vt:variant>
        <vt:i4>107</vt:i4>
      </vt:variant>
      <vt:variant>
        <vt:i4>0</vt:i4>
      </vt:variant>
      <vt:variant>
        <vt:i4>5</vt:i4>
      </vt:variant>
      <vt:variant>
        <vt:lpwstr/>
      </vt:variant>
      <vt:variant>
        <vt:lpwstr>_Toc355264046</vt:lpwstr>
      </vt:variant>
      <vt:variant>
        <vt:i4>1048624</vt:i4>
      </vt:variant>
      <vt:variant>
        <vt:i4>101</vt:i4>
      </vt:variant>
      <vt:variant>
        <vt:i4>0</vt:i4>
      </vt:variant>
      <vt:variant>
        <vt:i4>5</vt:i4>
      </vt:variant>
      <vt:variant>
        <vt:lpwstr/>
      </vt:variant>
      <vt:variant>
        <vt:lpwstr>_Toc355264045</vt:lpwstr>
      </vt:variant>
      <vt:variant>
        <vt:i4>1179704</vt:i4>
      </vt:variant>
      <vt:variant>
        <vt:i4>92</vt:i4>
      </vt:variant>
      <vt:variant>
        <vt:i4>0</vt:i4>
      </vt:variant>
      <vt:variant>
        <vt:i4>5</vt:i4>
      </vt:variant>
      <vt:variant>
        <vt:lpwstr/>
      </vt:variant>
      <vt:variant>
        <vt:lpwstr>_Toc355263813</vt:lpwstr>
      </vt:variant>
      <vt:variant>
        <vt:i4>1179704</vt:i4>
      </vt:variant>
      <vt:variant>
        <vt:i4>86</vt:i4>
      </vt:variant>
      <vt:variant>
        <vt:i4>0</vt:i4>
      </vt:variant>
      <vt:variant>
        <vt:i4>5</vt:i4>
      </vt:variant>
      <vt:variant>
        <vt:lpwstr/>
      </vt:variant>
      <vt:variant>
        <vt:lpwstr>_Toc355263812</vt:lpwstr>
      </vt:variant>
      <vt:variant>
        <vt:i4>1507382</vt:i4>
      </vt:variant>
      <vt:variant>
        <vt:i4>77</vt:i4>
      </vt:variant>
      <vt:variant>
        <vt:i4>0</vt:i4>
      </vt:variant>
      <vt:variant>
        <vt:i4>5</vt:i4>
      </vt:variant>
      <vt:variant>
        <vt:lpwstr/>
      </vt:variant>
      <vt:variant>
        <vt:lpwstr>_Toc355261661</vt:lpwstr>
      </vt:variant>
      <vt:variant>
        <vt:i4>1507382</vt:i4>
      </vt:variant>
      <vt:variant>
        <vt:i4>71</vt:i4>
      </vt:variant>
      <vt:variant>
        <vt:i4>0</vt:i4>
      </vt:variant>
      <vt:variant>
        <vt:i4>5</vt:i4>
      </vt:variant>
      <vt:variant>
        <vt:lpwstr/>
      </vt:variant>
      <vt:variant>
        <vt:lpwstr>_Toc355261660</vt:lpwstr>
      </vt:variant>
      <vt:variant>
        <vt:i4>1310774</vt:i4>
      </vt:variant>
      <vt:variant>
        <vt:i4>65</vt:i4>
      </vt:variant>
      <vt:variant>
        <vt:i4>0</vt:i4>
      </vt:variant>
      <vt:variant>
        <vt:i4>5</vt:i4>
      </vt:variant>
      <vt:variant>
        <vt:lpwstr/>
      </vt:variant>
      <vt:variant>
        <vt:lpwstr>_Toc355261659</vt:lpwstr>
      </vt:variant>
      <vt:variant>
        <vt:i4>1310774</vt:i4>
      </vt:variant>
      <vt:variant>
        <vt:i4>59</vt:i4>
      </vt:variant>
      <vt:variant>
        <vt:i4>0</vt:i4>
      </vt:variant>
      <vt:variant>
        <vt:i4>5</vt:i4>
      </vt:variant>
      <vt:variant>
        <vt:lpwstr/>
      </vt:variant>
      <vt:variant>
        <vt:lpwstr>_Toc355261658</vt:lpwstr>
      </vt:variant>
      <vt:variant>
        <vt:i4>1310774</vt:i4>
      </vt:variant>
      <vt:variant>
        <vt:i4>53</vt:i4>
      </vt:variant>
      <vt:variant>
        <vt:i4>0</vt:i4>
      </vt:variant>
      <vt:variant>
        <vt:i4>5</vt:i4>
      </vt:variant>
      <vt:variant>
        <vt:lpwstr/>
      </vt:variant>
      <vt:variant>
        <vt:lpwstr>_Toc355261657</vt:lpwstr>
      </vt:variant>
      <vt:variant>
        <vt:i4>1310774</vt:i4>
      </vt:variant>
      <vt:variant>
        <vt:i4>47</vt:i4>
      </vt:variant>
      <vt:variant>
        <vt:i4>0</vt:i4>
      </vt:variant>
      <vt:variant>
        <vt:i4>5</vt:i4>
      </vt:variant>
      <vt:variant>
        <vt:lpwstr/>
      </vt:variant>
      <vt:variant>
        <vt:lpwstr>_Toc355261656</vt:lpwstr>
      </vt:variant>
      <vt:variant>
        <vt:i4>1310774</vt:i4>
      </vt:variant>
      <vt:variant>
        <vt:i4>41</vt:i4>
      </vt:variant>
      <vt:variant>
        <vt:i4>0</vt:i4>
      </vt:variant>
      <vt:variant>
        <vt:i4>5</vt:i4>
      </vt:variant>
      <vt:variant>
        <vt:lpwstr/>
      </vt:variant>
      <vt:variant>
        <vt:lpwstr>_Toc355261655</vt:lpwstr>
      </vt:variant>
      <vt:variant>
        <vt:i4>1310774</vt:i4>
      </vt:variant>
      <vt:variant>
        <vt:i4>35</vt:i4>
      </vt:variant>
      <vt:variant>
        <vt:i4>0</vt:i4>
      </vt:variant>
      <vt:variant>
        <vt:i4>5</vt:i4>
      </vt:variant>
      <vt:variant>
        <vt:lpwstr/>
      </vt:variant>
      <vt:variant>
        <vt:lpwstr>_Toc355261654</vt:lpwstr>
      </vt:variant>
      <vt:variant>
        <vt:i4>1310774</vt:i4>
      </vt:variant>
      <vt:variant>
        <vt:i4>29</vt:i4>
      </vt:variant>
      <vt:variant>
        <vt:i4>0</vt:i4>
      </vt:variant>
      <vt:variant>
        <vt:i4>5</vt:i4>
      </vt:variant>
      <vt:variant>
        <vt:lpwstr/>
      </vt:variant>
      <vt:variant>
        <vt:lpwstr>_Toc355261653</vt:lpwstr>
      </vt:variant>
      <vt:variant>
        <vt:i4>1310774</vt:i4>
      </vt:variant>
      <vt:variant>
        <vt:i4>23</vt:i4>
      </vt:variant>
      <vt:variant>
        <vt:i4>0</vt:i4>
      </vt:variant>
      <vt:variant>
        <vt:i4>5</vt:i4>
      </vt:variant>
      <vt:variant>
        <vt:lpwstr/>
      </vt:variant>
      <vt:variant>
        <vt:lpwstr>_Toc355261652</vt:lpwstr>
      </vt:variant>
      <vt:variant>
        <vt:i4>1310774</vt:i4>
      </vt:variant>
      <vt:variant>
        <vt:i4>17</vt:i4>
      </vt:variant>
      <vt:variant>
        <vt:i4>0</vt:i4>
      </vt:variant>
      <vt:variant>
        <vt:i4>5</vt:i4>
      </vt:variant>
      <vt:variant>
        <vt:lpwstr/>
      </vt:variant>
      <vt:variant>
        <vt:lpwstr>_Toc355261651</vt:lpwstr>
      </vt:variant>
      <vt:variant>
        <vt:i4>1310774</vt:i4>
      </vt:variant>
      <vt:variant>
        <vt:i4>11</vt:i4>
      </vt:variant>
      <vt:variant>
        <vt:i4>0</vt:i4>
      </vt:variant>
      <vt:variant>
        <vt:i4>5</vt:i4>
      </vt:variant>
      <vt:variant>
        <vt:lpwstr/>
      </vt:variant>
      <vt:variant>
        <vt:lpwstr>_Toc355261650</vt:lpwstr>
      </vt:variant>
      <vt:variant>
        <vt:i4>1376310</vt:i4>
      </vt:variant>
      <vt:variant>
        <vt:i4>5</vt:i4>
      </vt:variant>
      <vt:variant>
        <vt:i4>0</vt:i4>
      </vt:variant>
      <vt:variant>
        <vt:i4>5</vt:i4>
      </vt:variant>
      <vt:variant>
        <vt:lpwstr/>
      </vt:variant>
      <vt:variant>
        <vt:lpwstr>_Toc355261649</vt:lpwstr>
      </vt:variant>
      <vt:variant>
        <vt:i4>4063254</vt:i4>
      </vt:variant>
      <vt:variant>
        <vt:i4>0</vt:i4>
      </vt:variant>
      <vt:variant>
        <vt:i4>0</vt:i4>
      </vt:variant>
      <vt:variant>
        <vt:i4>5</vt:i4>
      </vt:variant>
      <vt:variant>
        <vt:lpwstr>mailto:ORDI_508_Compliance@cms.hhs.gov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Hospital Quality Reporting Program - Specifications for the Quality Measures Proposed through the Fiscal Year 2016 Notice of Proposed Rule Making</dc:title>
  <dc:subject>Long-Term Care Hospital Quality Reporting Program - Specifications for the Quality Measures Proposed through the Fiscal Year 2016 Notice of Proposed Rule Making</dc:subject>
  <dc:creator>Cannada</dc:creator>
  <cp:keywords>Long-Term Care Hospital Quality Reporting Program - Specifications for the Quality Measures Proposed through the Fiscal Year 2016 Notice of Proposed Rule Making</cp:keywords>
  <dc:description/>
  <cp:lastModifiedBy>CCSQ</cp:lastModifiedBy>
  <cp:revision>11</cp:revision>
  <cp:lastPrinted>2015-07-28T18:46:00Z</cp:lastPrinted>
  <dcterms:created xsi:type="dcterms:W3CDTF">2016-08-02T20:07:00Z</dcterms:created>
  <dcterms:modified xsi:type="dcterms:W3CDTF">2016-08-03T17:17:00Z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