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7844"/>
      </w:tblGrid>
      <w:tr w:rsidR="00BC6806" w:rsidTr="00217E64">
        <w:tc>
          <w:tcPr>
            <w:tcW w:w="1435" w:type="dxa"/>
          </w:tcPr>
          <w:p w:rsidR="00BC6806" w:rsidRPr="00B85322" w:rsidRDefault="004C63C2">
            <w:pPr>
              <w:rPr>
                <w:rFonts w:ascii="Arial" w:hAnsi="Arial" w:cs="Arial"/>
                <w:b/>
                <w:sz w:val="20"/>
                <w:szCs w:val="20"/>
              </w:rPr>
            </w:pPr>
            <w:r w:rsidRPr="00B85322">
              <w:rPr>
                <w:rFonts w:ascii="Arial" w:hAnsi="Arial" w:cs="Arial"/>
                <w:b/>
                <w:sz w:val="20"/>
                <w:szCs w:val="20"/>
              </w:rPr>
              <w:t>S</w:t>
            </w:r>
            <w:r w:rsidR="00BC6806" w:rsidRPr="00B85322">
              <w:rPr>
                <w:rFonts w:ascii="Arial" w:hAnsi="Arial" w:cs="Arial"/>
                <w:b/>
                <w:sz w:val="20"/>
                <w:szCs w:val="20"/>
              </w:rPr>
              <w:t xml:space="preserve">hort Name:      </w:t>
            </w:r>
          </w:p>
        </w:tc>
        <w:tc>
          <w:tcPr>
            <w:tcW w:w="7915" w:type="dxa"/>
          </w:tcPr>
          <w:p w:rsidR="00BC6806" w:rsidRDefault="00BC6806">
            <w:pPr>
              <w:rPr>
                <w:rFonts w:ascii="Arial" w:hAnsi="Arial" w:cs="Arial"/>
                <w:sz w:val="20"/>
                <w:szCs w:val="20"/>
              </w:rPr>
            </w:pPr>
            <w:r w:rsidRPr="00BC6806">
              <w:rPr>
                <w:rFonts w:ascii="Arial" w:hAnsi="Arial" w:cs="Arial"/>
                <w:sz w:val="20"/>
                <w:szCs w:val="20"/>
              </w:rPr>
              <w:t>SNFRM</w:t>
            </w:r>
          </w:p>
        </w:tc>
      </w:tr>
      <w:tr w:rsidR="00BC6806" w:rsidTr="00217E64">
        <w:tc>
          <w:tcPr>
            <w:tcW w:w="1435" w:type="dxa"/>
          </w:tcPr>
          <w:p w:rsidR="00BC6806" w:rsidRDefault="00BC6806">
            <w:pPr>
              <w:rPr>
                <w:rFonts w:ascii="Arial" w:hAnsi="Arial" w:cs="Arial"/>
                <w:sz w:val="20"/>
                <w:szCs w:val="20"/>
              </w:rPr>
            </w:pPr>
          </w:p>
        </w:tc>
        <w:tc>
          <w:tcPr>
            <w:tcW w:w="7915" w:type="dxa"/>
          </w:tcPr>
          <w:p w:rsidR="00BC6806" w:rsidRDefault="00BC6806">
            <w:pPr>
              <w:rPr>
                <w:rFonts w:ascii="Arial" w:hAnsi="Arial" w:cs="Arial"/>
                <w:sz w:val="20"/>
                <w:szCs w:val="20"/>
              </w:rPr>
            </w:pPr>
          </w:p>
        </w:tc>
      </w:tr>
      <w:tr w:rsidR="00BC6806" w:rsidTr="00217E64">
        <w:tc>
          <w:tcPr>
            <w:tcW w:w="1435" w:type="dxa"/>
          </w:tcPr>
          <w:p w:rsidR="00BC6806" w:rsidRPr="00B85322" w:rsidRDefault="00BC6806">
            <w:pPr>
              <w:rPr>
                <w:rFonts w:ascii="Arial" w:hAnsi="Arial" w:cs="Arial"/>
                <w:b/>
                <w:sz w:val="20"/>
                <w:szCs w:val="20"/>
              </w:rPr>
            </w:pPr>
            <w:r w:rsidRPr="00B85322">
              <w:rPr>
                <w:rFonts w:ascii="Arial" w:hAnsi="Arial" w:cs="Arial"/>
                <w:b/>
                <w:sz w:val="20"/>
                <w:szCs w:val="20"/>
              </w:rPr>
              <w:t>Description:</w:t>
            </w:r>
          </w:p>
        </w:tc>
        <w:tc>
          <w:tcPr>
            <w:tcW w:w="7915" w:type="dxa"/>
          </w:tcPr>
          <w:p w:rsidR="00BC6806" w:rsidRPr="00BC6806" w:rsidRDefault="00BC6806" w:rsidP="00BC6806">
            <w:pPr>
              <w:rPr>
                <w:rFonts w:ascii="Arial" w:hAnsi="Arial" w:cs="Arial"/>
                <w:sz w:val="20"/>
                <w:szCs w:val="20"/>
              </w:rPr>
            </w:pPr>
            <w:r w:rsidRPr="00BC6806">
              <w:rPr>
                <w:rFonts w:ascii="Arial" w:hAnsi="Arial" w:cs="Arial"/>
                <w:sz w:val="20"/>
                <w:szCs w:val="20"/>
              </w:rPr>
              <w:t>This</w:t>
            </w:r>
            <w:r w:rsidR="00D33327">
              <w:rPr>
                <w:rFonts w:ascii="Arial" w:hAnsi="Arial" w:cs="Arial"/>
                <w:sz w:val="20"/>
                <w:szCs w:val="20"/>
              </w:rPr>
              <w:t xml:space="preserve"> outcome</w:t>
            </w:r>
            <w:r w:rsidRPr="00BC6806">
              <w:rPr>
                <w:rFonts w:ascii="Arial" w:hAnsi="Arial" w:cs="Arial"/>
                <w:sz w:val="20"/>
                <w:szCs w:val="20"/>
              </w:rPr>
              <w:t xml:space="preserve"> measure assesses the risk-s</w:t>
            </w:r>
            <w:r w:rsidR="009E5750">
              <w:rPr>
                <w:rFonts w:ascii="Arial" w:hAnsi="Arial" w:cs="Arial"/>
                <w:sz w:val="20"/>
                <w:szCs w:val="20"/>
              </w:rPr>
              <w:t>tandardized rate of all-</w:t>
            </w:r>
            <w:r w:rsidRPr="00BC6806">
              <w:rPr>
                <w:rFonts w:ascii="Arial" w:hAnsi="Arial" w:cs="Arial"/>
                <w:sz w:val="20"/>
                <w:szCs w:val="20"/>
              </w:rPr>
              <w:t>cause, unplanned inp</w:t>
            </w:r>
            <w:r w:rsidR="00DB7B9E">
              <w:rPr>
                <w:rFonts w:ascii="Arial" w:hAnsi="Arial" w:cs="Arial"/>
                <w:sz w:val="20"/>
                <w:szCs w:val="20"/>
              </w:rPr>
              <w:t xml:space="preserve">atient hospital readmissions for </w:t>
            </w:r>
            <w:r w:rsidRPr="00BC6806">
              <w:rPr>
                <w:rFonts w:ascii="Arial" w:hAnsi="Arial" w:cs="Arial"/>
                <w:sz w:val="20"/>
                <w:szCs w:val="20"/>
              </w:rPr>
              <w:t>Medicare fee-for-service (FFS) SNF</w:t>
            </w:r>
          </w:p>
          <w:p w:rsidR="00BC6806" w:rsidRDefault="00BC6806" w:rsidP="00BC6806">
            <w:pPr>
              <w:rPr>
                <w:rFonts w:ascii="Arial" w:hAnsi="Arial" w:cs="Arial"/>
                <w:sz w:val="20"/>
                <w:szCs w:val="20"/>
              </w:rPr>
            </w:pPr>
            <w:r w:rsidRPr="00BC6806">
              <w:rPr>
                <w:rFonts w:ascii="Arial" w:hAnsi="Arial" w:cs="Arial"/>
                <w:sz w:val="20"/>
                <w:szCs w:val="20"/>
              </w:rPr>
              <w:t xml:space="preserve">patients within 30 days of discharge from </w:t>
            </w:r>
            <w:r w:rsidR="00DB7B9E">
              <w:rPr>
                <w:rFonts w:ascii="Arial" w:hAnsi="Arial" w:cs="Arial"/>
                <w:sz w:val="20"/>
                <w:szCs w:val="20"/>
              </w:rPr>
              <w:t>a prior proximal hospitalization</w:t>
            </w:r>
            <w:r w:rsidR="00DE1F06">
              <w:rPr>
                <w:rFonts w:ascii="Arial" w:hAnsi="Arial" w:cs="Arial"/>
                <w:sz w:val="20"/>
                <w:szCs w:val="20"/>
              </w:rPr>
              <w:t xml:space="preserve">. A </w:t>
            </w:r>
            <w:r w:rsidR="00DE1F06" w:rsidRPr="00DE1F06">
              <w:rPr>
                <w:rFonts w:ascii="Arial" w:hAnsi="Arial" w:cs="Arial"/>
                <w:sz w:val="20"/>
                <w:szCs w:val="20"/>
              </w:rPr>
              <w:t xml:space="preserve">prior proximal hospitalization is defined as an admission to </w:t>
            </w:r>
            <w:r w:rsidRPr="00BC6806">
              <w:rPr>
                <w:rFonts w:ascii="Arial" w:hAnsi="Arial" w:cs="Arial"/>
                <w:sz w:val="20"/>
                <w:szCs w:val="20"/>
              </w:rPr>
              <w:t>an inpatient prospective pay</w:t>
            </w:r>
            <w:r w:rsidR="009E5750">
              <w:rPr>
                <w:rFonts w:ascii="Arial" w:hAnsi="Arial" w:cs="Arial"/>
                <w:sz w:val="20"/>
                <w:szCs w:val="20"/>
              </w:rPr>
              <w:t>ment system (IPPS) hospital, critical access hospital (CAH)</w:t>
            </w:r>
            <w:r w:rsidRPr="00BC6806">
              <w:rPr>
                <w:rFonts w:ascii="Arial" w:hAnsi="Arial" w:cs="Arial"/>
                <w:sz w:val="20"/>
                <w:szCs w:val="20"/>
              </w:rPr>
              <w:t>, or psychiatric hospital.</w:t>
            </w:r>
          </w:p>
          <w:p w:rsidR="004B3D57" w:rsidRDefault="004B3D57" w:rsidP="004C63C2">
            <w:pPr>
              <w:spacing w:line="120" w:lineRule="auto"/>
              <w:rPr>
                <w:rFonts w:ascii="Arial" w:hAnsi="Arial" w:cs="Arial"/>
                <w:sz w:val="20"/>
                <w:szCs w:val="20"/>
              </w:rPr>
            </w:pPr>
          </w:p>
          <w:p w:rsidR="004B3D57" w:rsidRDefault="004B3D57" w:rsidP="009E5750">
            <w:pPr>
              <w:rPr>
                <w:rFonts w:ascii="Arial" w:hAnsi="Arial" w:cs="Arial"/>
                <w:sz w:val="20"/>
                <w:szCs w:val="20"/>
              </w:rPr>
            </w:pPr>
            <w:r>
              <w:rPr>
                <w:rFonts w:ascii="Arial" w:hAnsi="Arial" w:cs="Arial"/>
                <w:sz w:val="20"/>
                <w:szCs w:val="20"/>
              </w:rPr>
              <w:t>The measure is</w:t>
            </w:r>
            <w:r w:rsidR="005D3C6C">
              <w:rPr>
                <w:rFonts w:ascii="Arial" w:hAnsi="Arial" w:cs="Arial"/>
                <w:sz w:val="20"/>
                <w:szCs w:val="20"/>
              </w:rPr>
              <w:t xml:space="preserve"> </w:t>
            </w:r>
            <w:r w:rsidR="009E5750">
              <w:rPr>
                <w:rFonts w:ascii="Arial" w:hAnsi="Arial" w:cs="Arial"/>
                <w:sz w:val="20"/>
                <w:szCs w:val="20"/>
              </w:rPr>
              <w:t xml:space="preserve">based on 12 months of data </w:t>
            </w:r>
            <w:r w:rsidR="005D3C6C">
              <w:rPr>
                <w:rFonts w:ascii="Arial" w:hAnsi="Arial" w:cs="Arial"/>
                <w:sz w:val="20"/>
                <w:szCs w:val="20"/>
              </w:rPr>
              <w:t xml:space="preserve">and uses a modified version of the </w:t>
            </w:r>
            <w:hyperlink r:id="rId7" w:history="1">
              <w:r w:rsidR="005D3C6C" w:rsidRPr="005D3C6C">
                <w:rPr>
                  <w:rStyle w:val="Hyperlink"/>
                  <w:rFonts w:ascii="Arial" w:hAnsi="Arial" w:cs="Arial"/>
                  <w:sz w:val="20"/>
                  <w:szCs w:val="20"/>
                </w:rPr>
                <w:t>CMS Planned Readmissions Algorithm</w:t>
              </w:r>
            </w:hyperlink>
            <w:r w:rsidR="005D3C6C">
              <w:rPr>
                <w:rFonts w:ascii="Arial" w:hAnsi="Arial" w:cs="Arial"/>
                <w:sz w:val="20"/>
                <w:szCs w:val="20"/>
              </w:rPr>
              <w:t xml:space="preserve">. </w:t>
            </w:r>
          </w:p>
        </w:tc>
      </w:tr>
      <w:tr w:rsidR="00F776C7" w:rsidTr="00217E64">
        <w:tc>
          <w:tcPr>
            <w:tcW w:w="1435" w:type="dxa"/>
          </w:tcPr>
          <w:p w:rsidR="00F776C7" w:rsidRPr="00BC6806" w:rsidRDefault="00F776C7">
            <w:pPr>
              <w:rPr>
                <w:rFonts w:ascii="Arial" w:hAnsi="Arial" w:cs="Arial"/>
                <w:sz w:val="20"/>
                <w:szCs w:val="20"/>
              </w:rPr>
            </w:pPr>
          </w:p>
        </w:tc>
        <w:tc>
          <w:tcPr>
            <w:tcW w:w="7915" w:type="dxa"/>
          </w:tcPr>
          <w:p w:rsidR="00F776C7" w:rsidRPr="00BC6806" w:rsidRDefault="00F776C7" w:rsidP="00BC6806">
            <w:pPr>
              <w:rPr>
                <w:rFonts w:ascii="Arial" w:hAnsi="Arial" w:cs="Arial"/>
                <w:sz w:val="20"/>
                <w:szCs w:val="20"/>
              </w:rPr>
            </w:pPr>
          </w:p>
        </w:tc>
      </w:tr>
      <w:tr w:rsidR="00BC6806" w:rsidTr="00217E64">
        <w:tc>
          <w:tcPr>
            <w:tcW w:w="1435" w:type="dxa"/>
          </w:tcPr>
          <w:p w:rsidR="00BC6806" w:rsidRPr="00B85322" w:rsidRDefault="00F776C7" w:rsidP="003F0359">
            <w:pPr>
              <w:rPr>
                <w:rFonts w:ascii="Arial" w:hAnsi="Arial" w:cs="Arial"/>
                <w:b/>
                <w:sz w:val="20"/>
                <w:szCs w:val="20"/>
              </w:rPr>
            </w:pPr>
            <w:r w:rsidRPr="00B85322">
              <w:rPr>
                <w:rFonts w:ascii="Arial" w:hAnsi="Arial" w:cs="Arial"/>
                <w:b/>
                <w:sz w:val="20"/>
                <w:szCs w:val="20"/>
              </w:rPr>
              <w:t>R</w:t>
            </w:r>
            <w:r w:rsidR="003F0359" w:rsidRPr="00B85322">
              <w:rPr>
                <w:rFonts w:ascii="Arial" w:hAnsi="Arial" w:cs="Arial"/>
                <w:b/>
                <w:sz w:val="20"/>
                <w:szCs w:val="20"/>
              </w:rPr>
              <w:t xml:space="preserve">isk </w:t>
            </w:r>
            <w:r w:rsidRPr="00B85322">
              <w:rPr>
                <w:rFonts w:ascii="Arial" w:hAnsi="Arial" w:cs="Arial"/>
                <w:b/>
                <w:sz w:val="20"/>
                <w:szCs w:val="20"/>
              </w:rPr>
              <w:t>Window:</w:t>
            </w:r>
          </w:p>
        </w:tc>
        <w:tc>
          <w:tcPr>
            <w:tcW w:w="7915" w:type="dxa"/>
          </w:tcPr>
          <w:p w:rsidR="00BC6806" w:rsidRDefault="003F0359" w:rsidP="00217E64">
            <w:pPr>
              <w:rPr>
                <w:rFonts w:ascii="Arial" w:hAnsi="Arial" w:cs="Arial"/>
                <w:sz w:val="20"/>
                <w:szCs w:val="20"/>
              </w:rPr>
            </w:pPr>
            <w:r>
              <w:rPr>
                <w:rFonts w:ascii="Arial" w:hAnsi="Arial" w:cs="Arial"/>
                <w:noProof/>
                <w:sz w:val="20"/>
                <w:szCs w:val="20"/>
              </w:rPr>
              <w:drawing>
                <wp:inline distT="0" distB="0" distL="0" distR="0" wp14:anchorId="60C8D4D1">
                  <wp:extent cx="4620255" cy="2013045"/>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700596" cy="2048050"/>
                          </a:xfrm>
                          <a:prstGeom prst="rect">
                            <a:avLst/>
                          </a:prstGeom>
                          <a:noFill/>
                        </pic:spPr>
                      </pic:pic>
                    </a:graphicData>
                  </a:graphic>
                </wp:inline>
              </w:drawing>
            </w:r>
          </w:p>
        </w:tc>
      </w:tr>
      <w:tr w:rsidR="00F776C7" w:rsidTr="00217E64">
        <w:tc>
          <w:tcPr>
            <w:tcW w:w="1435" w:type="dxa"/>
          </w:tcPr>
          <w:p w:rsidR="00F776C7" w:rsidRDefault="00F776C7">
            <w:pPr>
              <w:rPr>
                <w:rFonts w:ascii="Arial" w:hAnsi="Arial" w:cs="Arial"/>
                <w:sz w:val="20"/>
                <w:szCs w:val="20"/>
              </w:rPr>
            </w:pPr>
          </w:p>
        </w:tc>
        <w:tc>
          <w:tcPr>
            <w:tcW w:w="7915" w:type="dxa"/>
          </w:tcPr>
          <w:p w:rsidR="00F776C7" w:rsidRDefault="00F776C7">
            <w:pPr>
              <w:rPr>
                <w:rFonts w:ascii="Arial" w:hAnsi="Arial" w:cs="Arial"/>
                <w:sz w:val="20"/>
                <w:szCs w:val="20"/>
              </w:rPr>
            </w:pPr>
          </w:p>
        </w:tc>
      </w:tr>
      <w:tr w:rsidR="00BC6806" w:rsidTr="00217E64">
        <w:tc>
          <w:tcPr>
            <w:tcW w:w="1435" w:type="dxa"/>
          </w:tcPr>
          <w:p w:rsidR="00BC6806" w:rsidRPr="00B85322" w:rsidRDefault="00BC6806">
            <w:pPr>
              <w:rPr>
                <w:rFonts w:ascii="Arial" w:hAnsi="Arial" w:cs="Arial"/>
                <w:b/>
                <w:sz w:val="20"/>
                <w:szCs w:val="20"/>
              </w:rPr>
            </w:pPr>
            <w:r w:rsidRPr="00B85322">
              <w:rPr>
                <w:rFonts w:ascii="Arial" w:hAnsi="Arial" w:cs="Arial"/>
                <w:b/>
                <w:sz w:val="20"/>
                <w:szCs w:val="20"/>
              </w:rPr>
              <w:t>Numerator:</w:t>
            </w:r>
          </w:p>
        </w:tc>
        <w:tc>
          <w:tcPr>
            <w:tcW w:w="7915" w:type="dxa"/>
          </w:tcPr>
          <w:p w:rsidR="00BC6806" w:rsidRDefault="005D7FF7" w:rsidP="00DE1F06">
            <w:pPr>
              <w:rPr>
                <w:rFonts w:ascii="Arial" w:hAnsi="Arial" w:cs="Arial"/>
                <w:sz w:val="20"/>
                <w:szCs w:val="20"/>
              </w:rPr>
            </w:pPr>
            <w:r w:rsidRPr="00BC6806">
              <w:rPr>
                <w:rFonts w:ascii="Arial" w:hAnsi="Arial" w:cs="Arial"/>
                <w:sz w:val="20"/>
                <w:szCs w:val="20"/>
              </w:rPr>
              <w:t>T</w:t>
            </w:r>
            <w:r>
              <w:rPr>
                <w:rFonts w:ascii="Arial" w:hAnsi="Arial" w:cs="Arial"/>
                <w:sz w:val="20"/>
                <w:szCs w:val="20"/>
              </w:rPr>
              <w:t xml:space="preserve">he </w:t>
            </w:r>
            <w:r w:rsidRPr="009E5750">
              <w:rPr>
                <w:rFonts w:ascii="Arial" w:hAnsi="Arial" w:cs="Arial"/>
                <w:sz w:val="20"/>
                <w:szCs w:val="20"/>
              </w:rPr>
              <w:t>measure does not have a simple form f</w:t>
            </w:r>
            <w:r>
              <w:rPr>
                <w:rFonts w:ascii="Arial" w:hAnsi="Arial" w:cs="Arial"/>
                <w:sz w:val="20"/>
                <w:szCs w:val="20"/>
              </w:rPr>
              <w:t>or the numerator</w:t>
            </w:r>
            <w:r w:rsidRPr="00BC6806">
              <w:rPr>
                <w:rFonts w:ascii="Arial" w:hAnsi="Arial" w:cs="Arial"/>
                <w:sz w:val="20"/>
                <w:szCs w:val="20"/>
              </w:rPr>
              <w:t>—that is, the risk adjustment method used does not make the observed number of readmissions the numerator</w:t>
            </w:r>
            <w:r>
              <w:rPr>
                <w:rFonts w:ascii="Arial" w:hAnsi="Arial" w:cs="Arial"/>
                <w:sz w:val="20"/>
                <w:szCs w:val="20"/>
              </w:rPr>
              <w:t>.</w:t>
            </w:r>
            <w:r w:rsidRPr="00BC6806">
              <w:rPr>
                <w:rFonts w:ascii="Arial" w:hAnsi="Arial" w:cs="Arial"/>
                <w:sz w:val="20"/>
                <w:szCs w:val="20"/>
              </w:rPr>
              <w:t xml:space="preserve"> </w:t>
            </w:r>
            <w:r w:rsidR="00091AFC">
              <w:rPr>
                <w:rFonts w:ascii="Arial" w:hAnsi="Arial" w:cs="Arial"/>
                <w:sz w:val="20"/>
                <w:szCs w:val="20"/>
              </w:rPr>
              <w:t>T</w:t>
            </w:r>
            <w:r w:rsidR="00091AFC" w:rsidRPr="00BC6806">
              <w:rPr>
                <w:rFonts w:ascii="Arial" w:hAnsi="Arial" w:cs="Arial"/>
                <w:sz w:val="20"/>
                <w:szCs w:val="20"/>
              </w:rPr>
              <w:t>he numerator is specifically defined as the risk-adjusted estimate of the number of unplanned readmissions</w:t>
            </w:r>
            <w:r w:rsidR="00091AFC">
              <w:rPr>
                <w:rFonts w:ascii="Arial" w:hAnsi="Arial" w:cs="Arial"/>
                <w:sz w:val="20"/>
                <w:szCs w:val="20"/>
              </w:rPr>
              <w:t xml:space="preserve"> (</w:t>
            </w:r>
            <w:r w:rsidR="000206F9">
              <w:rPr>
                <w:rFonts w:ascii="Arial" w:hAnsi="Arial" w:cs="Arial"/>
                <w:sz w:val="20"/>
                <w:szCs w:val="20"/>
              </w:rPr>
              <w:t xml:space="preserve">to an </w:t>
            </w:r>
            <w:r w:rsidR="00091AFC">
              <w:rPr>
                <w:rFonts w:ascii="Arial" w:hAnsi="Arial" w:cs="Arial"/>
                <w:sz w:val="20"/>
                <w:szCs w:val="20"/>
              </w:rPr>
              <w:t>IPPS or CAH)</w:t>
            </w:r>
            <w:r w:rsidR="00091AFC" w:rsidRPr="00BC6806">
              <w:rPr>
                <w:rFonts w:ascii="Arial" w:hAnsi="Arial" w:cs="Arial"/>
                <w:sz w:val="20"/>
                <w:szCs w:val="20"/>
              </w:rPr>
              <w:t xml:space="preserve"> that occurred within 30 days from discharge from the prior proximal acute hospitalization</w:t>
            </w:r>
            <w:r w:rsidR="00DE1F06">
              <w:rPr>
                <w:rFonts w:ascii="Arial" w:hAnsi="Arial" w:cs="Arial"/>
                <w:sz w:val="20"/>
                <w:szCs w:val="20"/>
              </w:rPr>
              <w:t xml:space="preserve">. </w:t>
            </w:r>
            <w:r w:rsidR="00091AFC" w:rsidRPr="00BC6806">
              <w:rPr>
                <w:rFonts w:ascii="Arial" w:hAnsi="Arial" w:cs="Arial"/>
                <w:sz w:val="20"/>
                <w:szCs w:val="20"/>
              </w:rPr>
              <w:t>T</w:t>
            </w:r>
            <w:r w:rsidR="006A22AD">
              <w:rPr>
                <w:rFonts w:ascii="Arial" w:hAnsi="Arial" w:cs="Arial"/>
                <w:sz w:val="20"/>
                <w:szCs w:val="20"/>
              </w:rPr>
              <w:t>h</w:t>
            </w:r>
            <w:r w:rsidR="00BC6806" w:rsidRPr="00BC6806">
              <w:rPr>
                <w:rFonts w:ascii="Arial" w:hAnsi="Arial" w:cs="Arial"/>
                <w:sz w:val="20"/>
                <w:szCs w:val="20"/>
              </w:rPr>
              <w:t>e numerator, as defined, includes risk adjustment for patient characteristics and a statistical estimate of the facility effect beyond patient mix.</w:t>
            </w:r>
          </w:p>
        </w:tc>
      </w:tr>
      <w:tr w:rsidR="00BC6806" w:rsidTr="00217E64">
        <w:tc>
          <w:tcPr>
            <w:tcW w:w="1435" w:type="dxa"/>
          </w:tcPr>
          <w:p w:rsidR="00BC6806" w:rsidRDefault="00BC6806">
            <w:pPr>
              <w:rPr>
                <w:rFonts w:ascii="Arial" w:hAnsi="Arial" w:cs="Arial"/>
                <w:sz w:val="20"/>
                <w:szCs w:val="20"/>
              </w:rPr>
            </w:pPr>
          </w:p>
        </w:tc>
        <w:tc>
          <w:tcPr>
            <w:tcW w:w="7915" w:type="dxa"/>
          </w:tcPr>
          <w:p w:rsidR="00BC6806" w:rsidRDefault="00BC6806">
            <w:pPr>
              <w:rPr>
                <w:rFonts w:ascii="Arial" w:hAnsi="Arial" w:cs="Arial"/>
                <w:sz w:val="20"/>
                <w:szCs w:val="20"/>
              </w:rPr>
            </w:pPr>
          </w:p>
        </w:tc>
      </w:tr>
      <w:tr w:rsidR="00BC6806" w:rsidTr="00217E64">
        <w:tc>
          <w:tcPr>
            <w:tcW w:w="1435" w:type="dxa"/>
          </w:tcPr>
          <w:p w:rsidR="00BC6806" w:rsidRPr="00B85322" w:rsidRDefault="00BC6806">
            <w:pPr>
              <w:rPr>
                <w:rFonts w:ascii="Arial" w:hAnsi="Arial" w:cs="Arial"/>
                <w:b/>
                <w:sz w:val="20"/>
                <w:szCs w:val="20"/>
              </w:rPr>
            </w:pPr>
            <w:r w:rsidRPr="00B85322">
              <w:rPr>
                <w:rFonts w:ascii="Arial" w:hAnsi="Arial" w:cs="Arial"/>
                <w:b/>
                <w:sz w:val="20"/>
                <w:szCs w:val="20"/>
              </w:rPr>
              <w:t>Denominator:</w:t>
            </w:r>
          </w:p>
        </w:tc>
        <w:tc>
          <w:tcPr>
            <w:tcW w:w="7915" w:type="dxa"/>
          </w:tcPr>
          <w:p w:rsidR="00BC6806" w:rsidRDefault="005D7FF7" w:rsidP="00DE1F06">
            <w:pPr>
              <w:rPr>
                <w:rFonts w:ascii="Arial" w:hAnsi="Arial" w:cs="Arial"/>
                <w:sz w:val="20"/>
                <w:szCs w:val="20"/>
              </w:rPr>
            </w:pPr>
            <w:r w:rsidRPr="00AC7570">
              <w:rPr>
                <w:rFonts w:ascii="Arial" w:hAnsi="Arial" w:cs="Arial"/>
                <w:sz w:val="20"/>
                <w:szCs w:val="20"/>
              </w:rPr>
              <w:t>The measure does not have a simple form for the denominator—that is, the risk adjustment method used does not make the predicted number of readmissions the denominator.</w:t>
            </w:r>
            <w:r>
              <w:rPr>
                <w:rFonts w:ascii="Arial" w:hAnsi="Arial" w:cs="Arial"/>
                <w:sz w:val="20"/>
                <w:szCs w:val="20"/>
              </w:rPr>
              <w:t xml:space="preserve"> </w:t>
            </w:r>
            <w:r w:rsidR="00AC7570" w:rsidRPr="00AC7570">
              <w:rPr>
                <w:rFonts w:ascii="Arial" w:hAnsi="Arial" w:cs="Arial"/>
                <w:sz w:val="20"/>
                <w:szCs w:val="20"/>
              </w:rPr>
              <w:t>The denominator, in effect, is the number of SNF admissions within 1 day of a prior proximal hospital discharge</w:t>
            </w:r>
            <w:r w:rsidR="006A22AD">
              <w:rPr>
                <w:rFonts w:ascii="Arial" w:hAnsi="Arial" w:cs="Arial"/>
                <w:sz w:val="20"/>
                <w:szCs w:val="20"/>
              </w:rPr>
              <w:t xml:space="preserve"> </w:t>
            </w:r>
            <w:r w:rsidR="00AC7570" w:rsidRPr="00AC7570">
              <w:rPr>
                <w:rFonts w:ascii="Arial" w:hAnsi="Arial" w:cs="Arial"/>
                <w:sz w:val="20"/>
                <w:szCs w:val="20"/>
              </w:rPr>
              <w:t>during a target year, taking denominator exclusions into account. The denominator is computed with the same model us</w:t>
            </w:r>
            <w:r w:rsidR="00466F7A">
              <w:rPr>
                <w:rFonts w:ascii="Arial" w:hAnsi="Arial" w:cs="Arial"/>
                <w:sz w:val="20"/>
                <w:szCs w:val="20"/>
              </w:rPr>
              <w:t>ed for the numerator, which is developed</w:t>
            </w:r>
            <w:r w:rsidR="00AC7570" w:rsidRPr="00AC7570">
              <w:rPr>
                <w:rFonts w:ascii="Arial" w:hAnsi="Arial" w:cs="Arial"/>
                <w:sz w:val="20"/>
                <w:szCs w:val="20"/>
              </w:rPr>
              <w:t xml:space="preserve"> using all non-excluded SNF stays in the national data. For a particular facility the model is applied to the patient population, but the facility effect term is 0. </w:t>
            </w:r>
          </w:p>
        </w:tc>
      </w:tr>
      <w:tr w:rsidR="00BC6806" w:rsidTr="00217E64">
        <w:tc>
          <w:tcPr>
            <w:tcW w:w="1435" w:type="dxa"/>
          </w:tcPr>
          <w:p w:rsidR="00BC6806" w:rsidRPr="00BC6806" w:rsidRDefault="00BC6806">
            <w:pPr>
              <w:rPr>
                <w:rFonts w:ascii="Arial" w:hAnsi="Arial" w:cs="Arial"/>
                <w:sz w:val="20"/>
                <w:szCs w:val="20"/>
              </w:rPr>
            </w:pPr>
          </w:p>
        </w:tc>
        <w:tc>
          <w:tcPr>
            <w:tcW w:w="7915" w:type="dxa"/>
          </w:tcPr>
          <w:p w:rsidR="00BC6806" w:rsidRDefault="00BC6806">
            <w:pPr>
              <w:rPr>
                <w:rFonts w:ascii="Arial" w:hAnsi="Arial" w:cs="Arial"/>
                <w:sz w:val="20"/>
                <w:szCs w:val="20"/>
              </w:rPr>
            </w:pPr>
          </w:p>
        </w:tc>
      </w:tr>
      <w:tr w:rsidR="00BC6806" w:rsidTr="00217E64">
        <w:tc>
          <w:tcPr>
            <w:tcW w:w="1435" w:type="dxa"/>
          </w:tcPr>
          <w:p w:rsidR="00BC6806" w:rsidRPr="00B85322" w:rsidRDefault="00BC6806">
            <w:pPr>
              <w:rPr>
                <w:rFonts w:ascii="Arial" w:hAnsi="Arial" w:cs="Arial"/>
                <w:b/>
                <w:sz w:val="20"/>
                <w:szCs w:val="20"/>
              </w:rPr>
            </w:pPr>
            <w:r w:rsidRPr="00B85322">
              <w:rPr>
                <w:rFonts w:ascii="Arial" w:hAnsi="Arial" w:cs="Arial"/>
                <w:b/>
                <w:sz w:val="20"/>
                <w:szCs w:val="20"/>
              </w:rPr>
              <w:t>Denominator Exclusions:</w:t>
            </w:r>
          </w:p>
        </w:tc>
        <w:tc>
          <w:tcPr>
            <w:tcW w:w="7915" w:type="dxa"/>
          </w:tcPr>
          <w:p w:rsidR="00BC6806" w:rsidRDefault="00BC6806" w:rsidP="00BC6806">
            <w:pPr>
              <w:rPr>
                <w:rFonts w:ascii="Arial" w:hAnsi="Arial" w:cs="Arial"/>
                <w:sz w:val="20"/>
                <w:szCs w:val="20"/>
              </w:rPr>
            </w:pPr>
            <w:r w:rsidRPr="00BC6806">
              <w:rPr>
                <w:rFonts w:ascii="Arial" w:hAnsi="Arial" w:cs="Arial"/>
                <w:sz w:val="20"/>
                <w:szCs w:val="20"/>
              </w:rPr>
              <w:t>The following</w:t>
            </w:r>
            <w:r w:rsidR="008E1CBA">
              <w:rPr>
                <w:rFonts w:ascii="Arial" w:hAnsi="Arial" w:cs="Arial"/>
                <w:sz w:val="20"/>
                <w:szCs w:val="20"/>
              </w:rPr>
              <w:t>*</w:t>
            </w:r>
            <w:r w:rsidRPr="00BC6806">
              <w:rPr>
                <w:rFonts w:ascii="Arial" w:hAnsi="Arial" w:cs="Arial"/>
                <w:sz w:val="20"/>
                <w:szCs w:val="20"/>
              </w:rPr>
              <w:t xml:space="preserve"> are excluded from the denominator:</w:t>
            </w:r>
          </w:p>
          <w:p w:rsidR="00BC6806" w:rsidRPr="00BC6806" w:rsidRDefault="00BC6806" w:rsidP="00BC6806">
            <w:pPr>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where the patient had one or more intervening post-acute care (PAC) admissions (inpatient rehabilitation facility [IRF] or long-term care hospital [LTCH])</w:t>
            </w:r>
            <w:r w:rsidR="008C3CCE">
              <w:rPr>
                <w:rFonts w:ascii="Arial" w:hAnsi="Arial" w:cs="Arial"/>
                <w:sz w:val="20"/>
                <w:szCs w:val="20"/>
              </w:rPr>
              <w:t>,</w:t>
            </w:r>
            <w:r w:rsidRPr="00BC6806">
              <w:rPr>
                <w:rFonts w:ascii="Arial" w:hAnsi="Arial" w:cs="Arial"/>
                <w:sz w:val="20"/>
                <w:szCs w:val="20"/>
              </w:rPr>
              <w:t xml:space="preserve"> which occurred either between the prior proximal hospital discharge and SNF admission or after the SNF discharge, within the 30-day risk window.</w:t>
            </w:r>
          </w:p>
          <w:p w:rsid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admissions where the patient had multiple SNF admissions after the prior proximal hospitalization, within the 30-day risk window.</w:t>
            </w:r>
          </w:p>
          <w:p w:rsidR="00BC6806" w:rsidRPr="00BC6806" w:rsidRDefault="00BC6806" w:rsidP="004B3D57">
            <w:pPr>
              <w:pStyle w:val="ListParagraph"/>
              <w:spacing w:line="120" w:lineRule="auto"/>
              <w:rPr>
                <w:rFonts w:ascii="Arial" w:hAnsi="Arial" w:cs="Arial"/>
                <w:sz w:val="20"/>
                <w:szCs w:val="20"/>
              </w:rPr>
            </w:pPr>
          </w:p>
          <w:p w:rsidR="00BC6806" w:rsidRPr="00BC6806"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BC6806">
              <w:rPr>
                <w:rFonts w:ascii="Arial" w:hAnsi="Arial" w:cs="Arial"/>
                <w:sz w:val="20"/>
                <w:szCs w:val="20"/>
              </w:rPr>
              <w:t xml:space="preserve"> For patients who have IRF or LTCH admissions prior to their first SNF admission, these patients are starting their SNF admission later in the 30-day risk window and receiving other additional types of services as compared to patients </w:t>
            </w:r>
            <w:r w:rsidR="00B85322">
              <w:rPr>
                <w:rFonts w:ascii="Arial" w:hAnsi="Arial" w:cs="Arial"/>
                <w:sz w:val="20"/>
                <w:szCs w:val="20"/>
              </w:rPr>
              <w:t>admitted directly to the SNF</w:t>
            </w:r>
            <w:r w:rsidRPr="00BC6806">
              <w:rPr>
                <w:rFonts w:ascii="Arial" w:hAnsi="Arial" w:cs="Arial"/>
                <w:sz w:val="20"/>
                <w:szCs w:val="20"/>
              </w:rPr>
              <w:t>. They are clinically different and their risk for readmission is different than the rest of SNF admissions.</w:t>
            </w:r>
            <w:r>
              <w:rPr>
                <w:rFonts w:ascii="Arial" w:hAnsi="Arial" w:cs="Arial"/>
                <w:sz w:val="20"/>
                <w:szCs w:val="20"/>
              </w:rPr>
              <w:t xml:space="preserve"> </w:t>
            </w:r>
            <w:r w:rsidRPr="00BC6806">
              <w:rPr>
                <w:rFonts w:ascii="Arial" w:hAnsi="Arial" w:cs="Arial"/>
                <w:sz w:val="20"/>
                <w:szCs w:val="20"/>
              </w:rPr>
              <w:t>Additionally, when patients have multiple PAC admissions, evaluating quality of care coordination is confounded and even controversial in terms of attributing responsibility for a readmission among multiple PAC providers. Similarly, assigning responsibility for a readmission for patients who have multiple SNF admissions subsequent to their prior proximal hospitalization is also controversial.</w:t>
            </w:r>
          </w:p>
          <w:p w:rsidR="00BC6806" w:rsidRP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with a gap of greater than 1 day between discharge from the prior proximal hospitalization and the SNF admission.</w:t>
            </w:r>
          </w:p>
          <w:p w:rsidR="00BC6806" w:rsidRDefault="00BC6806" w:rsidP="004B3D57">
            <w:pPr>
              <w:pStyle w:val="ListParagraph"/>
              <w:spacing w:line="120" w:lineRule="auto"/>
              <w:ind w:left="360"/>
              <w:rPr>
                <w:rFonts w:ascii="Arial" w:hAnsi="Arial" w:cs="Arial"/>
                <w:sz w:val="20"/>
                <w:szCs w:val="20"/>
              </w:rPr>
            </w:pPr>
          </w:p>
          <w:p w:rsidR="00BC6806" w:rsidRPr="00BC6806"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BC6806">
              <w:rPr>
                <w:rFonts w:ascii="Arial" w:hAnsi="Arial" w:cs="Arial"/>
                <w:sz w:val="20"/>
                <w:szCs w:val="20"/>
              </w:rPr>
              <w:t xml:space="preserve"> These patients are starting their SNF admissions later in the 30-day risk window than patients admitted directly to the SNF from the prior proximal hospitalization. They are clinically different and their risk for readmission is different than the rest of SNF admissions.</w:t>
            </w:r>
          </w:p>
          <w:p w:rsid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where the patient did not have at least 12 months of FFS Medicare enrollment prior to the proximal hospital discharge (measured as enrollment during the month of proximal hospital discharge and the for 11 months prior to that discharge).</w:t>
            </w:r>
          </w:p>
          <w:p w:rsidR="00BC6806" w:rsidRDefault="00BC6806" w:rsidP="004B3D57">
            <w:pPr>
              <w:pStyle w:val="ListParagraph"/>
              <w:spacing w:line="120" w:lineRule="auto"/>
              <w:ind w:left="360"/>
              <w:rPr>
                <w:rFonts w:ascii="Arial" w:hAnsi="Arial" w:cs="Arial"/>
                <w:sz w:val="20"/>
                <w:szCs w:val="20"/>
              </w:rPr>
            </w:pPr>
          </w:p>
          <w:p w:rsidR="00BC6806"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BC6806">
              <w:rPr>
                <w:rFonts w:ascii="Arial" w:hAnsi="Arial" w:cs="Arial"/>
                <w:sz w:val="20"/>
                <w:szCs w:val="20"/>
              </w:rPr>
              <w:t xml:space="preserve"> FFS Medicare claims are used to identify comorbidities during the 12-month period prior to the proximal hospital discharge for risk adjustment.</w:t>
            </w:r>
          </w:p>
          <w:p w:rsid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in which the patient did not have FFS Medicare enrollment for the entire risk period (measured as enrollment during the month of proximal hospital discharge and the month following the month of discharge).</w:t>
            </w:r>
          </w:p>
          <w:p w:rsidR="00BC6806" w:rsidRDefault="00BC6806" w:rsidP="004B3D57">
            <w:pPr>
              <w:pStyle w:val="ListParagraph"/>
              <w:spacing w:line="120" w:lineRule="auto"/>
              <w:ind w:left="360"/>
              <w:rPr>
                <w:rFonts w:ascii="Arial" w:hAnsi="Arial" w:cs="Arial"/>
                <w:sz w:val="20"/>
                <w:szCs w:val="20"/>
              </w:rPr>
            </w:pPr>
          </w:p>
          <w:p w:rsidR="00BC6806"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BC6806">
              <w:rPr>
                <w:rFonts w:ascii="Arial" w:hAnsi="Arial" w:cs="Arial"/>
                <w:sz w:val="20"/>
                <w:szCs w:val="20"/>
              </w:rPr>
              <w:t xml:space="preserve"> Readmissions occurring within the 30-day risk window when the patient does not have FFS Medicare coverage cannot be detected using claims.</w:t>
            </w:r>
          </w:p>
          <w:p w:rsid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in which the principal diagnosis for the prior proximal hospitalization was for the medical treatment of cancer. Patients with cancer whose principal diagnosis from the prior proximal hospitalization was for other diagnoses or for surgical treatment of their cancer remain in the measure.</w:t>
            </w:r>
          </w:p>
          <w:p w:rsidR="00BC6806" w:rsidRDefault="00BC6806" w:rsidP="004B3D57">
            <w:pPr>
              <w:pStyle w:val="ListParagraph"/>
              <w:spacing w:line="120" w:lineRule="auto"/>
              <w:ind w:left="360"/>
              <w:rPr>
                <w:rFonts w:ascii="Arial" w:hAnsi="Arial" w:cs="Arial"/>
                <w:sz w:val="20"/>
                <w:szCs w:val="20"/>
              </w:rPr>
            </w:pPr>
          </w:p>
          <w:p w:rsidR="00BC6806" w:rsidRPr="00BC6806"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BC6806">
              <w:rPr>
                <w:rFonts w:ascii="Arial" w:hAnsi="Arial" w:cs="Arial"/>
                <w:sz w:val="20"/>
                <w:szCs w:val="20"/>
              </w:rPr>
              <w:t xml:space="preserve"> These admissions have a very different mortality and readmission risk than the rest of the Medicare population, and outcomes for these admissions do not correlate well with outcomes for other admissions.</w:t>
            </w:r>
          </w:p>
          <w:p w:rsidR="00BC6806" w:rsidRP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where the patient was discharged from the SNF against medical advice.</w:t>
            </w:r>
          </w:p>
          <w:p w:rsidR="00BC6806" w:rsidRDefault="00BC6806" w:rsidP="004B3D57">
            <w:pPr>
              <w:pStyle w:val="ListParagraph"/>
              <w:spacing w:line="120" w:lineRule="auto"/>
              <w:ind w:left="360"/>
              <w:rPr>
                <w:rFonts w:ascii="Arial" w:hAnsi="Arial" w:cs="Arial"/>
                <w:sz w:val="20"/>
                <w:szCs w:val="20"/>
              </w:rPr>
            </w:pPr>
          </w:p>
          <w:p w:rsidR="00BC6806" w:rsidRPr="004B3D57"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4B3D57">
              <w:rPr>
                <w:rFonts w:ascii="Arial" w:hAnsi="Arial" w:cs="Arial"/>
                <w:sz w:val="20"/>
                <w:szCs w:val="20"/>
              </w:rPr>
              <w:t xml:space="preserve"> The SNF was not able to complete care as needed.</w:t>
            </w:r>
          </w:p>
          <w:p w:rsidR="00BC6806" w:rsidRDefault="00BC6806" w:rsidP="00BC6806">
            <w:pPr>
              <w:pStyle w:val="ListParagraph"/>
              <w:ind w:left="360"/>
              <w:rPr>
                <w:rFonts w:ascii="Arial" w:hAnsi="Arial" w:cs="Arial"/>
                <w:sz w:val="20"/>
                <w:szCs w:val="20"/>
              </w:rPr>
            </w:pPr>
          </w:p>
          <w:p w:rsidR="00BC6806" w:rsidRDefault="00BC6806" w:rsidP="00BC6806">
            <w:pPr>
              <w:pStyle w:val="ListParagraph"/>
              <w:numPr>
                <w:ilvl w:val="0"/>
                <w:numId w:val="1"/>
              </w:numPr>
              <w:rPr>
                <w:rFonts w:ascii="Arial" w:hAnsi="Arial" w:cs="Arial"/>
                <w:sz w:val="20"/>
                <w:szCs w:val="20"/>
              </w:rPr>
            </w:pPr>
            <w:r w:rsidRPr="00BC6806">
              <w:rPr>
                <w:rFonts w:ascii="Arial" w:hAnsi="Arial" w:cs="Arial"/>
                <w:sz w:val="20"/>
                <w:szCs w:val="20"/>
              </w:rPr>
              <w:t>SNF stays in which the principal primary diagnosis for the prior proximal hospitalization was for rehabilitation care; fitting of prostheses and for the adjustment of devices.</w:t>
            </w:r>
          </w:p>
          <w:p w:rsidR="00BC6806" w:rsidRDefault="00BC6806" w:rsidP="004B3D57">
            <w:pPr>
              <w:pStyle w:val="ListParagraph"/>
              <w:spacing w:line="120" w:lineRule="auto"/>
              <w:ind w:left="360"/>
              <w:rPr>
                <w:rFonts w:ascii="Arial" w:hAnsi="Arial" w:cs="Arial"/>
                <w:sz w:val="20"/>
                <w:szCs w:val="20"/>
              </w:rPr>
            </w:pPr>
          </w:p>
          <w:p w:rsidR="00BC6806" w:rsidRDefault="00BC6806" w:rsidP="00BC6806">
            <w:pPr>
              <w:pStyle w:val="ListParagraph"/>
              <w:ind w:left="360"/>
              <w:rPr>
                <w:rFonts w:ascii="Arial" w:hAnsi="Arial" w:cs="Arial"/>
                <w:sz w:val="20"/>
                <w:szCs w:val="20"/>
              </w:rPr>
            </w:pPr>
            <w:r w:rsidRPr="008E1CBA">
              <w:rPr>
                <w:rFonts w:ascii="Arial" w:hAnsi="Arial" w:cs="Arial"/>
                <w:sz w:val="20"/>
                <w:szCs w:val="20"/>
                <w:u w:val="single"/>
              </w:rPr>
              <w:t>Rationale:</w:t>
            </w:r>
            <w:r w:rsidRPr="00BC6806">
              <w:rPr>
                <w:rFonts w:ascii="Arial" w:hAnsi="Arial" w:cs="Arial"/>
                <w:sz w:val="20"/>
                <w:szCs w:val="20"/>
              </w:rPr>
              <w:t xml:space="preserve"> Hospital admissions for these conditions are not for acute care. </w:t>
            </w:r>
          </w:p>
          <w:p w:rsidR="008E1CBA" w:rsidRDefault="008E1CBA" w:rsidP="004C63C2">
            <w:pPr>
              <w:spacing w:line="120" w:lineRule="auto"/>
              <w:rPr>
                <w:rFonts w:ascii="Arial" w:hAnsi="Arial" w:cs="Arial"/>
                <w:sz w:val="20"/>
                <w:szCs w:val="20"/>
              </w:rPr>
            </w:pPr>
          </w:p>
          <w:p w:rsidR="00BC6806" w:rsidRPr="008E1CBA" w:rsidRDefault="008E1CBA" w:rsidP="008E1CBA">
            <w:pPr>
              <w:rPr>
                <w:rFonts w:ascii="Arial" w:hAnsi="Arial" w:cs="Arial"/>
                <w:sz w:val="20"/>
                <w:szCs w:val="20"/>
              </w:rPr>
            </w:pPr>
            <w:r>
              <w:rPr>
                <w:rFonts w:ascii="Arial" w:hAnsi="Arial" w:cs="Arial"/>
                <w:sz w:val="20"/>
                <w:szCs w:val="20"/>
              </w:rPr>
              <w:t xml:space="preserve">*List does not include all denominator exclusions. </w:t>
            </w:r>
          </w:p>
        </w:tc>
      </w:tr>
      <w:tr w:rsidR="00BC6806" w:rsidTr="00217E64">
        <w:tc>
          <w:tcPr>
            <w:tcW w:w="1435" w:type="dxa"/>
          </w:tcPr>
          <w:p w:rsidR="00BC6806" w:rsidRPr="00BC6806" w:rsidRDefault="00BC6806">
            <w:pPr>
              <w:rPr>
                <w:rFonts w:ascii="Arial" w:hAnsi="Arial" w:cs="Arial"/>
                <w:sz w:val="20"/>
                <w:szCs w:val="20"/>
              </w:rPr>
            </w:pPr>
          </w:p>
        </w:tc>
        <w:tc>
          <w:tcPr>
            <w:tcW w:w="7915" w:type="dxa"/>
          </w:tcPr>
          <w:p w:rsidR="00BC6806" w:rsidRDefault="00BC6806">
            <w:pPr>
              <w:rPr>
                <w:rFonts w:ascii="Arial" w:hAnsi="Arial" w:cs="Arial"/>
                <w:sz w:val="20"/>
                <w:szCs w:val="20"/>
              </w:rPr>
            </w:pPr>
          </w:p>
        </w:tc>
      </w:tr>
      <w:tr w:rsidR="00BC6806" w:rsidTr="00217E64">
        <w:tc>
          <w:tcPr>
            <w:tcW w:w="1435" w:type="dxa"/>
          </w:tcPr>
          <w:p w:rsidR="00BC6806" w:rsidRPr="00B85322" w:rsidRDefault="00BC6806">
            <w:pPr>
              <w:rPr>
                <w:rFonts w:ascii="Arial" w:hAnsi="Arial" w:cs="Arial"/>
                <w:b/>
                <w:sz w:val="20"/>
                <w:szCs w:val="20"/>
              </w:rPr>
            </w:pPr>
            <w:r w:rsidRPr="00B85322">
              <w:rPr>
                <w:rFonts w:ascii="Arial" w:hAnsi="Arial" w:cs="Arial"/>
                <w:b/>
                <w:sz w:val="20"/>
                <w:szCs w:val="20"/>
              </w:rPr>
              <w:t>Data Source:</w:t>
            </w:r>
          </w:p>
        </w:tc>
        <w:tc>
          <w:tcPr>
            <w:tcW w:w="7915" w:type="dxa"/>
          </w:tcPr>
          <w:p w:rsidR="00BC6806" w:rsidRDefault="004B3D57">
            <w:pPr>
              <w:rPr>
                <w:rFonts w:ascii="Arial" w:hAnsi="Arial" w:cs="Arial"/>
                <w:sz w:val="20"/>
                <w:szCs w:val="20"/>
              </w:rPr>
            </w:pPr>
            <w:r w:rsidRPr="004B3D57">
              <w:rPr>
                <w:rFonts w:ascii="Arial" w:hAnsi="Arial" w:cs="Arial"/>
                <w:sz w:val="20"/>
                <w:szCs w:val="20"/>
              </w:rPr>
              <w:t>Administrative claims</w:t>
            </w:r>
          </w:p>
        </w:tc>
      </w:tr>
      <w:tr w:rsidR="00BC6806" w:rsidTr="00217E64">
        <w:tc>
          <w:tcPr>
            <w:tcW w:w="1435" w:type="dxa"/>
          </w:tcPr>
          <w:p w:rsidR="00BC6806" w:rsidRPr="00BC6806" w:rsidRDefault="00BC6806">
            <w:pPr>
              <w:rPr>
                <w:rFonts w:ascii="Arial" w:hAnsi="Arial" w:cs="Arial"/>
                <w:sz w:val="20"/>
                <w:szCs w:val="20"/>
              </w:rPr>
            </w:pPr>
          </w:p>
        </w:tc>
        <w:tc>
          <w:tcPr>
            <w:tcW w:w="7915" w:type="dxa"/>
          </w:tcPr>
          <w:p w:rsidR="00BC6806" w:rsidRDefault="00BC6806">
            <w:pPr>
              <w:rPr>
                <w:rFonts w:ascii="Arial" w:hAnsi="Arial" w:cs="Arial"/>
                <w:sz w:val="20"/>
                <w:szCs w:val="20"/>
              </w:rPr>
            </w:pPr>
          </w:p>
        </w:tc>
      </w:tr>
      <w:tr w:rsidR="00BC6806" w:rsidTr="00217E64">
        <w:trPr>
          <w:trHeight w:val="260"/>
        </w:trPr>
        <w:tc>
          <w:tcPr>
            <w:tcW w:w="1435" w:type="dxa"/>
          </w:tcPr>
          <w:p w:rsidR="00BC6806" w:rsidRPr="00B85322" w:rsidRDefault="008E1CBA" w:rsidP="000A110A">
            <w:pPr>
              <w:rPr>
                <w:rFonts w:ascii="Arial" w:hAnsi="Arial" w:cs="Arial"/>
                <w:b/>
                <w:sz w:val="20"/>
                <w:szCs w:val="20"/>
              </w:rPr>
            </w:pPr>
            <w:r w:rsidRPr="00B85322">
              <w:rPr>
                <w:rFonts w:ascii="Arial" w:hAnsi="Arial" w:cs="Arial"/>
                <w:b/>
                <w:sz w:val="20"/>
                <w:szCs w:val="20"/>
              </w:rPr>
              <w:t>Resources</w:t>
            </w:r>
            <w:r w:rsidR="009637EF">
              <w:rPr>
                <w:rFonts w:ascii="Arial" w:hAnsi="Arial" w:cs="Arial"/>
                <w:b/>
                <w:sz w:val="20"/>
                <w:szCs w:val="20"/>
              </w:rPr>
              <w:t>:</w:t>
            </w:r>
          </w:p>
        </w:tc>
        <w:tc>
          <w:tcPr>
            <w:tcW w:w="7915" w:type="dxa"/>
          </w:tcPr>
          <w:p w:rsidR="000A110A" w:rsidRPr="000A110A" w:rsidRDefault="009B0E35" w:rsidP="00D61CF3">
            <w:pPr>
              <w:rPr>
                <w:rFonts w:ascii="Arial" w:hAnsi="Arial" w:cs="Arial"/>
                <w:sz w:val="20"/>
                <w:szCs w:val="20"/>
              </w:rPr>
            </w:pPr>
            <w:hyperlink r:id="rId10" w:history="1">
              <w:r w:rsidR="000A110A" w:rsidRPr="000A110A">
                <w:rPr>
                  <w:rFonts w:ascii="Arial" w:hAnsi="Arial" w:cs="Arial"/>
                  <w:color w:val="0563C1" w:themeColor="hyperlink"/>
                  <w:sz w:val="20"/>
                  <w:szCs w:val="20"/>
                  <w:u w:val="single"/>
                </w:rPr>
                <w:t>SNFRM Draft Technical Report</w:t>
              </w:r>
            </w:hyperlink>
          </w:p>
          <w:p w:rsidR="000A110A" w:rsidRPr="000A110A" w:rsidRDefault="009B0E35" w:rsidP="00D61CF3">
            <w:pPr>
              <w:rPr>
                <w:rFonts w:ascii="Arial" w:hAnsi="Arial" w:cs="Arial"/>
                <w:sz w:val="20"/>
                <w:szCs w:val="20"/>
              </w:rPr>
            </w:pPr>
            <w:hyperlink r:id="rId11" w:history="1">
              <w:r w:rsidR="008E1CBA" w:rsidRPr="000A110A">
                <w:rPr>
                  <w:rFonts w:ascii="Arial" w:hAnsi="Arial" w:cs="Arial"/>
                  <w:color w:val="0563C1" w:themeColor="hyperlink"/>
                  <w:sz w:val="20"/>
                  <w:szCs w:val="20"/>
                  <w:u w:val="single"/>
                </w:rPr>
                <w:t>SNFRM August 2012 Expert Panel Report</w:t>
              </w:r>
            </w:hyperlink>
          </w:p>
          <w:p w:rsidR="000A110A" w:rsidRPr="000A110A" w:rsidRDefault="009B0E35" w:rsidP="00D61CF3">
            <w:pPr>
              <w:rPr>
                <w:rFonts w:ascii="Arial" w:hAnsi="Arial" w:cs="Arial"/>
                <w:sz w:val="20"/>
                <w:szCs w:val="20"/>
              </w:rPr>
            </w:pPr>
            <w:hyperlink r:id="rId12" w:history="1">
              <w:r w:rsidR="000A110A" w:rsidRPr="000A110A">
                <w:rPr>
                  <w:rFonts w:ascii="Arial" w:hAnsi="Arial" w:cs="Arial"/>
                  <w:color w:val="0563C1" w:themeColor="hyperlink"/>
                  <w:sz w:val="20"/>
                  <w:szCs w:val="20"/>
                  <w:u w:val="single"/>
                </w:rPr>
                <w:t>SNFRM Public Comment Summary Report</w:t>
              </w:r>
            </w:hyperlink>
          </w:p>
          <w:p w:rsidR="008E1CBA" w:rsidRPr="000A110A" w:rsidRDefault="008E1CBA" w:rsidP="000A110A">
            <w:pPr>
              <w:spacing w:line="120" w:lineRule="auto"/>
              <w:rPr>
                <w:rFonts w:ascii="Arial" w:hAnsi="Arial" w:cs="Arial"/>
                <w:sz w:val="20"/>
                <w:szCs w:val="20"/>
              </w:rPr>
            </w:pPr>
          </w:p>
        </w:tc>
      </w:tr>
    </w:tbl>
    <w:p w:rsidR="00BC6806" w:rsidRPr="00BC6806" w:rsidRDefault="00BC6806" w:rsidP="00B85322">
      <w:pPr>
        <w:rPr>
          <w:rFonts w:ascii="Arial" w:hAnsi="Arial" w:cs="Arial"/>
          <w:sz w:val="20"/>
          <w:szCs w:val="20"/>
        </w:rPr>
      </w:pPr>
    </w:p>
    <w:sectPr w:rsidR="00BC6806" w:rsidRPr="00BC6806" w:rsidSect="004B3D5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35" w:rsidRDefault="009B0E35" w:rsidP="004B3D57">
      <w:pPr>
        <w:spacing w:after="0" w:line="240" w:lineRule="auto"/>
      </w:pPr>
      <w:r>
        <w:separator/>
      </w:r>
    </w:p>
  </w:endnote>
  <w:endnote w:type="continuationSeparator" w:id="0">
    <w:p w:rsidR="009B0E35" w:rsidRDefault="009B0E35" w:rsidP="004B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E7" w:rsidRDefault="00EE7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E7" w:rsidRDefault="00EE7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E7" w:rsidRDefault="00EE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35" w:rsidRDefault="009B0E35" w:rsidP="004B3D57">
      <w:pPr>
        <w:spacing w:after="0" w:line="240" w:lineRule="auto"/>
      </w:pPr>
      <w:r>
        <w:separator/>
      </w:r>
    </w:p>
  </w:footnote>
  <w:footnote w:type="continuationSeparator" w:id="0">
    <w:p w:rsidR="009B0E35" w:rsidRDefault="009B0E35" w:rsidP="004B3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E7" w:rsidRDefault="00EE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E7" w:rsidRDefault="00EE7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57" w:rsidRPr="004B3D57" w:rsidRDefault="00BA2C75" w:rsidP="004B3D57">
    <w:pPr>
      <w:pStyle w:val="Header"/>
      <w:jc w:val="center"/>
      <w:rPr>
        <w:rFonts w:ascii="Arial" w:hAnsi="Arial" w:cs="Arial"/>
        <w:b/>
        <w:sz w:val="20"/>
        <w:szCs w:val="20"/>
      </w:rPr>
    </w:pPr>
    <w:r>
      <w:rPr>
        <w:rFonts w:ascii="Arial" w:hAnsi="Arial" w:cs="Arial"/>
        <w:b/>
        <w:sz w:val="20"/>
        <w:szCs w:val="20"/>
      </w:rPr>
      <w:t>Skilled Nursing Facility 30-Day A</w:t>
    </w:r>
    <w:r w:rsidR="004B3D57" w:rsidRPr="004B3D57">
      <w:rPr>
        <w:rFonts w:ascii="Arial" w:hAnsi="Arial" w:cs="Arial"/>
        <w:b/>
        <w:sz w:val="20"/>
        <w:szCs w:val="20"/>
      </w:rPr>
      <w:t>ll-c</w:t>
    </w:r>
    <w:r>
      <w:rPr>
        <w:rFonts w:ascii="Arial" w:hAnsi="Arial" w:cs="Arial"/>
        <w:b/>
        <w:sz w:val="20"/>
        <w:szCs w:val="20"/>
      </w:rPr>
      <w:t>ause Readmission M</w:t>
    </w:r>
    <w:r w:rsidR="00B85322">
      <w:rPr>
        <w:rFonts w:ascii="Arial" w:hAnsi="Arial" w:cs="Arial"/>
        <w:b/>
        <w:sz w:val="20"/>
        <w:szCs w:val="20"/>
      </w:rPr>
      <w:t>easure (</w:t>
    </w:r>
    <w:r w:rsidR="004B3D57" w:rsidRPr="004B3D57">
      <w:rPr>
        <w:rFonts w:ascii="Arial" w:hAnsi="Arial" w:cs="Arial"/>
        <w:b/>
        <w:sz w:val="20"/>
        <w:szCs w:val="20"/>
      </w:rPr>
      <w:t>NQF# 2510)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76042"/>
    <w:multiLevelType w:val="hybridMultilevel"/>
    <w:tmpl w:val="15BE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6C3A06"/>
    <w:multiLevelType w:val="hybridMultilevel"/>
    <w:tmpl w:val="CA0019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06"/>
    <w:rsid w:val="000206F9"/>
    <w:rsid w:val="00091AFC"/>
    <w:rsid w:val="000A110A"/>
    <w:rsid w:val="001024C8"/>
    <w:rsid w:val="00105AAF"/>
    <w:rsid w:val="00217E64"/>
    <w:rsid w:val="003F0359"/>
    <w:rsid w:val="00402B98"/>
    <w:rsid w:val="00466F7A"/>
    <w:rsid w:val="004B3D57"/>
    <w:rsid w:val="004C63C2"/>
    <w:rsid w:val="005D3C6C"/>
    <w:rsid w:val="005D7FF7"/>
    <w:rsid w:val="006A22AD"/>
    <w:rsid w:val="006F4522"/>
    <w:rsid w:val="007F47E0"/>
    <w:rsid w:val="00806806"/>
    <w:rsid w:val="008C3CCE"/>
    <w:rsid w:val="008D50BB"/>
    <w:rsid w:val="008E1CBA"/>
    <w:rsid w:val="009637EF"/>
    <w:rsid w:val="009B0E35"/>
    <w:rsid w:val="009C0002"/>
    <w:rsid w:val="009E5750"/>
    <w:rsid w:val="00A870B3"/>
    <w:rsid w:val="00AC7570"/>
    <w:rsid w:val="00B85322"/>
    <w:rsid w:val="00B853A0"/>
    <w:rsid w:val="00BA2C75"/>
    <w:rsid w:val="00BC6806"/>
    <w:rsid w:val="00C37C95"/>
    <w:rsid w:val="00CC75F8"/>
    <w:rsid w:val="00CF451F"/>
    <w:rsid w:val="00D33327"/>
    <w:rsid w:val="00D61CF3"/>
    <w:rsid w:val="00DB7B9E"/>
    <w:rsid w:val="00DE1F06"/>
    <w:rsid w:val="00EE72E7"/>
    <w:rsid w:val="00F259F8"/>
    <w:rsid w:val="00F776C7"/>
    <w:rsid w:val="00FC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806"/>
    <w:pPr>
      <w:ind w:left="720"/>
      <w:contextualSpacing/>
    </w:pPr>
  </w:style>
  <w:style w:type="paragraph" w:styleId="Header">
    <w:name w:val="header"/>
    <w:basedOn w:val="Normal"/>
    <w:link w:val="HeaderChar"/>
    <w:uiPriority w:val="99"/>
    <w:unhideWhenUsed/>
    <w:rsid w:val="004B3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57"/>
  </w:style>
  <w:style w:type="paragraph" w:styleId="Footer">
    <w:name w:val="footer"/>
    <w:basedOn w:val="Normal"/>
    <w:link w:val="FooterChar"/>
    <w:uiPriority w:val="99"/>
    <w:unhideWhenUsed/>
    <w:rsid w:val="004B3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57"/>
  </w:style>
  <w:style w:type="character" w:styleId="Hyperlink">
    <w:name w:val="Hyperlink"/>
    <w:basedOn w:val="DefaultParagraphFont"/>
    <w:uiPriority w:val="99"/>
    <w:unhideWhenUsed/>
    <w:rsid w:val="005D3C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ms.gov/Medicare/Quality-Initiatives-Patient-Assessment-Instruments/HospitalQualityInits/Measure-Methodology.html" TargetMode="External"/><Relationship Id="rId12" Type="http://schemas.openxmlformats.org/officeDocument/2006/relationships/hyperlink" Target="https://www.cms.gov/Medicare/Quality-Initiatives-Patient-Assessment-Instruments/MMS/Downloads/SNFRM-Public-Comment-Summar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Quality-Initiatives-Patient-Assessment-Instruments/NursingHomeQualityInits/Downloads/Development-of-the-Skilled-Nursing-Facility-Readmission-Measure-SNFRM-August-2012-Technical-Expert-Panel-Repor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ms.gov/Medicare/Quality-Initiatives-Patient-Assessment-Instruments/NursingHomeQualityInits/Downloads/SNFRM-Technical-Report-325201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2016-04-12T13:21:00Z</dcterms:created>
  <dcterms:modified xsi:type="dcterms:W3CDTF">2016-04-12T13:21:00Z</dcterms:modified>
</cp:coreProperties>
</file>