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81AF5" w14:textId="6A859092" w:rsidR="00C553B6" w:rsidRDefault="00C553B6" w:rsidP="00C553B6">
      <w:pPr>
        <w:jc w:val="center"/>
      </w:pPr>
      <w:r>
        <w:t>Frequently Asked Questions on "</w:t>
      </w:r>
      <w:r w:rsidRPr="00C553B6">
        <w:t>Use of the Relationship Between OPPS APC Relative Weights To Establish PE RVUs</w:t>
      </w:r>
      <w:r>
        <w:t>"</w:t>
      </w:r>
    </w:p>
    <w:p w14:paraId="31AAF693" w14:textId="77777777" w:rsidR="00C553B6" w:rsidRDefault="00C553B6" w:rsidP="00C553B6"/>
    <w:p w14:paraId="06EA5073" w14:textId="2F8CD3D5" w:rsidR="00C553B6" w:rsidRDefault="00C553B6" w:rsidP="00C553B6">
      <w:r w:rsidRPr="00631437">
        <w:rPr>
          <w:b/>
          <w:bCs/>
        </w:rPr>
        <w:t>Q:</w:t>
      </w:r>
      <w:r>
        <w:tab/>
        <w:t>Why did CMS value radiation oncology treatment delivery and superficial radiation treatment services using a different methodology?</w:t>
      </w:r>
    </w:p>
    <w:p w14:paraId="03A11975" w14:textId="3FE84D63" w:rsidR="00C553B6" w:rsidRDefault="00C553B6" w:rsidP="00C553B6">
      <w:r w:rsidRPr="00631437">
        <w:rPr>
          <w:b/>
          <w:bCs/>
        </w:rPr>
        <w:t>A:</w:t>
      </w:r>
      <w:r>
        <w:t xml:space="preserve"> </w:t>
      </w:r>
      <w:r w:rsidR="00631437">
        <w:tab/>
      </w:r>
      <w:r>
        <w:t>R</w:t>
      </w:r>
      <w:r w:rsidRPr="00C553B6">
        <w:t>adiation treatment delivery and superficial radiation treatment services require long-term capital and infrastructure investments more like facility costs than most other services paid under the PFS</w:t>
      </w:r>
      <w:r>
        <w:t xml:space="preserve">. </w:t>
      </w:r>
      <w:r w:rsidRPr="00C553B6">
        <w:t>Therefore, we have determined that identifying an alternative data source that is more routinely updated and</w:t>
      </w:r>
      <w:r>
        <w:t xml:space="preserve"> </w:t>
      </w:r>
      <w:r w:rsidRPr="00C553B6">
        <w:t>standardized would improve the accuracy of valuation for these services.</w:t>
      </w:r>
    </w:p>
    <w:p w14:paraId="31469A73" w14:textId="29AF4993" w:rsidR="00631437" w:rsidRDefault="00631437" w:rsidP="00C553B6">
      <w:r w:rsidRPr="00631437">
        <w:rPr>
          <w:b/>
          <w:bCs/>
        </w:rPr>
        <w:t>Q:</w:t>
      </w:r>
      <w:r>
        <w:tab/>
        <w:t xml:space="preserve">Why </w:t>
      </w:r>
      <w:r w:rsidR="0082382F">
        <w:t xml:space="preserve">does </w:t>
      </w:r>
      <w:r>
        <w:t>CMS utilize the relationship of the costs of services under the OPPS, within a given PFS code family, to establish PE RVUs for that code family?</w:t>
      </w:r>
    </w:p>
    <w:p w14:paraId="70074671" w14:textId="45EA651D" w:rsidR="00631437" w:rsidRDefault="00631437" w:rsidP="00C553B6">
      <w:r w:rsidRPr="00631437">
        <w:rPr>
          <w:b/>
          <w:bCs/>
        </w:rPr>
        <w:t>A:</w:t>
      </w:r>
      <w:r>
        <w:tab/>
        <w:t>W</w:t>
      </w:r>
      <w:r w:rsidRPr="00631437">
        <w:t>e believe that the relationship of the costs of services within a code family under the PFS would likely mirror the relationship of those costs of services under the OPPS. For example, if ‘‘service A’’ is twice as costly under the OPPS as ‘‘service B’’, it is reasonable to assume that the resource costs of ‘‘service A’’ are twice as costly as ‘‘service B’’ under the PFS.</w:t>
      </w:r>
    </w:p>
    <w:p w14:paraId="44C500F9" w14:textId="26ACDE4E" w:rsidR="00631437" w:rsidRDefault="00631437" w:rsidP="00C553B6">
      <w:r w:rsidRPr="00631437">
        <w:rPr>
          <w:b/>
          <w:bCs/>
        </w:rPr>
        <w:t>Q:</w:t>
      </w:r>
      <w:r>
        <w:tab/>
        <w:t xml:space="preserve">How did CMS calculate the </w:t>
      </w:r>
      <w:r w:rsidR="0082382F">
        <w:t>PE</w:t>
      </w:r>
      <w:r>
        <w:t xml:space="preserve"> RVUs for radiation oncology treatment delivery and superficial radiation treatment services?</w:t>
      </w:r>
    </w:p>
    <w:p w14:paraId="51F753C4" w14:textId="4671F3FC" w:rsidR="00631437" w:rsidRDefault="00631437" w:rsidP="00C553B6">
      <w:r w:rsidRPr="00631437">
        <w:rPr>
          <w:b/>
          <w:bCs/>
        </w:rPr>
        <w:t>A:</w:t>
      </w:r>
      <w:r w:rsidRPr="00631437">
        <w:rPr>
          <w:b/>
          <w:bCs/>
        </w:rPr>
        <w:tab/>
      </w:r>
      <w:r w:rsidR="00196BC0">
        <w:t>We c</w:t>
      </w:r>
      <w:r w:rsidR="00196BC0" w:rsidRPr="00196BC0">
        <w:t xml:space="preserve">alculated the portion of total PE and MP RVUs accounted for by the volume and PE RVUs of </w:t>
      </w:r>
      <w:r w:rsidR="00196BC0">
        <w:t xml:space="preserve">radiation oncology treatment delivery and superficial radiation treatment services </w:t>
      </w:r>
      <w:r w:rsidR="00196BC0" w:rsidRPr="00196BC0">
        <w:t>as they existed in CY 2025.</w:t>
      </w:r>
      <w:r w:rsidR="00196BC0">
        <w:t xml:space="preserve"> For each of these code families, we applied the relationship between the APC payment rates to reallocate the portion of total PE and MP RVUs as they existed in 2025 to the CPT codes that we value</w:t>
      </w:r>
      <w:r w:rsidR="0082382F">
        <w:t>d</w:t>
      </w:r>
      <w:r w:rsidR="00196BC0">
        <w:t xml:space="preserve"> in CY 2026. </w:t>
      </w:r>
      <w:r w:rsidR="009543FF">
        <w:t xml:space="preserve">The </w:t>
      </w:r>
      <w:hyperlink r:id="rId7" w:history="1">
        <w:r w:rsidR="009543FF" w:rsidRPr="009543FF">
          <w:rPr>
            <w:rStyle w:val="Hyperlink"/>
          </w:rPr>
          <w:t>analytic crosswalk</w:t>
        </w:r>
      </w:hyperlink>
      <w:r w:rsidR="009543FF">
        <w:t xml:space="preserve"> demonstrates how the volume from the G codes was translated to the volume assumed for the CPT codes in our modeling process. </w:t>
      </w:r>
    </w:p>
    <w:p w14:paraId="0E19571E" w14:textId="36856624" w:rsidR="00196BC0" w:rsidRDefault="00196BC0" w:rsidP="00C553B6">
      <w:r>
        <w:rPr>
          <w:b/>
          <w:bCs/>
        </w:rPr>
        <w:t>Q:</w:t>
      </w:r>
      <w:r>
        <w:rPr>
          <w:b/>
          <w:bCs/>
        </w:rPr>
        <w:tab/>
      </w:r>
      <w:r>
        <w:t xml:space="preserve">Why did CMS </w:t>
      </w:r>
      <w:r w:rsidR="00DE78A8">
        <w:t>finalize a policy</w:t>
      </w:r>
      <w:r>
        <w:t xml:space="preserve"> to not separately pay for </w:t>
      </w:r>
      <w:r w:rsidR="00800899">
        <w:t xml:space="preserve">CPT code 77417 and </w:t>
      </w:r>
      <w:r>
        <w:t>the technical component of CPT code 77387</w:t>
      </w:r>
      <w:r w:rsidR="00800899">
        <w:t xml:space="preserve"> and </w:t>
      </w:r>
      <w:r w:rsidR="0003119A" w:rsidRPr="0003119A">
        <w:t>77439</w:t>
      </w:r>
      <w:r>
        <w:t>?</w:t>
      </w:r>
    </w:p>
    <w:p w14:paraId="4C075268" w14:textId="1A3F4737" w:rsidR="00196BC0" w:rsidRDefault="00196BC0" w:rsidP="00C553B6">
      <w:r>
        <w:rPr>
          <w:b/>
          <w:bCs/>
        </w:rPr>
        <w:t>A:</w:t>
      </w:r>
      <w:r>
        <w:rPr>
          <w:b/>
          <w:bCs/>
        </w:rPr>
        <w:tab/>
      </w:r>
      <w:r>
        <w:t xml:space="preserve">We </w:t>
      </w:r>
      <w:r w:rsidR="00DE78A8">
        <w:t xml:space="preserve">finalized a policy </w:t>
      </w:r>
      <w:r>
        <w:t>to bundle the payment for</w:t>
      </w:r>
      <w:r w:rsidR="00800899" w:rsidRPr="00800899">
        <w:t xml:space="preserve"> </w:t>
      </w:r>
      <w:r w:rsidR="00800899">
        <w:t xml:space="preserve">CPT code 77417  and the technical component of CPT code 77387 and </w:t>
      </w:r>
      <w:r w:rsidR="0003119A" w:rsidRPr="0003119A">
        <w:t>77439</w:t>
      </w:r>
      <w:r>
        <w:t xml:space="preserve"> t</w:t>
      </w:r>
      <w:r w:rsidRPr="00196BC0">
        <w:t xml:space="preserve">o align the relationship between the PFS payment for </w:t>
      </w:r>
      <w:r w:rsidR="00800899">
        <w:t xml:space="preserve">each of </w:t>
      </w:r>
      <w:r w:rsidRPr="00196BC0">
        <w:t>th</w:t>
      </w:r>
      <w:r w:rsidR="00800899">
        <w:t>e</w:t>
      </w:r>
      <w:r w:rsidRPr="00196BC0">
        <w:t xml:space="preserve"> code famil</w:t>
      </w:r>
      <w:r w:rsidR="00800899">
        <w:t>ies</w:t>
      </w:r>
      <w:r w:rsidRPr="00196BC0">
        <w:t xml:space="preserve"> with the OPPS payment</w:t>
      </w:r>
      <w:r>
        <w:t xml:space="preserve"> and </w:t>
      </w:r>
      <w:r w:rsidRPr="00196BC0">
        <w:t>maintain consistency with OPPS payment for th</w:t>
      </w:r>
      <w:r w:rsidR="00800899">
        <w:t xml:space="preserve">ese </w:t>
      </w:r>
      <w:r w:rsidRPr="00196BC0">
        <w:t>code</w:t>
      </w:r>
      <w:r w:rsidR="00800899">
        <w:t>s</w:t>
      </w:r>
      <w:r w:rsidRPr="00196BC0">
        <w:t xml:space="preserve">, which </w:t>
      </w:r>
      <w:r w:rsidR="00800899">
        <w:t>are</w:t>
      </w:r>
      <w:r w:rsidRPr="00196BC0">
        <w:t xml:space="preserve"> packaged into payment for the treatment delivery codes and therefore </w:t>
      </w:r>
      <w:r w:rsidR="00800899">
        <w:t>are</w:t>
      </w:r>
      <w:r w:rsidRPr="00196BC0">
        <w:t xml:space="preserve"> not separately payable under the OPPS.</w:t>
      </w:r>
      <w:r>
        <w:t xml:space="preserve"> We note that the </w:t>
      </w:r>
      <w:r>
        <w:lastRenderedPageBreak/>
        <w:t>PE RVUs for services in th</w:t>
      </w:r>
      <w:r w:rsidR="00800899">
        <w:t>ese</w:t>
      </w:r>
      <w:r>
        <w:t xml:space="preserve"> code family </w:t>
      </w:r>
      <w:r w:rsidRPr="00196BC0">
        <w:t>include a redistribution of the PE RVUs from the newly bundled services to the other services in that family</w:t>
      </w:r>
      <w:r>
        <w:t>.</w:t>
      </w:r>
    </w:p>
    <w:p w14:paraId="75D04D70" w14:textId="416EA379" w:rsidR="00196BC0" w:rsidRDefault="00196BC0" w:rsidP="00C553B6">
      <w:r>
        <w:rPr>
          <w:b/>
          <w:bCs/>
        </w:rPr>
        <w:t>Q:</w:t>
      </w:r>
      <w:r>
        <w:rPr>
          <w:b/>
          <w:bCs/>
        </w:rPr>
        <w:tab/>
      </w:r>
      <w:r w:rsidR="003E288B">
        <w:t>Why is the PE RVU for CPT code 7740</w:t>
      </w:r>
      <w:r w:rsidR="00CF5940">
        <w:t>2</w:t>
      </w:r>
      <w:r w:rsidR="003E288B">
        <w:t xml:space="preserve"> not equal to the OPPS APC relative weight for </w:t>
      </w:r>
      <w:r w:rsidR="00CF5940">
        <w:t>APC code 5621?</w:t>
      </w:r>
    </w:p>
    <w:p w14:paraId="3C4AB21B" w14:textId="295BBAA0" w:rsidR="00CF5940" w:rsidRDefault="00CF5940" w:rsidP="00C553B6">
      <w:r>
        <w:rPr>
          <w:b/>
          <w:bCs/>
        </w:rPr>
        <w:t>A:</w:t>
      </w:r>
      <w:r>
        <w:rPr>
          <w:b/>
          <w:bCs/>
        </w:rPr>
        <w:tab/>
      </w:r>
      <w:r>
        <w:t xml:space="preserve">We </w:t>
      </w:r>
      <w:r w:rsidR="00DE78A8">
        <w:t xml:space="preserve">finalized a policy </w:t>
      </w:r>
      <w:r>
        <w:t xml:space="preserve">to use the </w:t>
      </w:r>
      <w:r w:rsidRPr="002C57A8">
        <w:rPr>
          <w:i/>
          <w:iCs/>
        </w:rPr>
        <w:t>relationship</w:t>
      </w:r>
      <w:r>
        <w:t xml:space="preserve"> between the APC payment rates to establish the relative relationship of the PE RVUs within each code family. </w:t>
      </w:r>
      <w:r w:rsidR="00DE78A8">
        <w:t xml:space="preserve">This policy does not </w:t>
      </w:r>
      <w:r w:rsidR="002C57A8">
        <w:t xml:space="preserve">calculate PE RVUs using </w:t>
      </w:r>
      <w:r>
        <w:t xml:space="preserve">the </w:t>
      </w:r>
      <w:r w:rsidR="002C57A8">
        <w:t xml:space="preserve">values of the </w:t>
      </w:r>
      <w:r>
        <w:t>OPPS APC relative weights.</w:t>
      </w:r>
    </w:p>
    <w:p w14:paraId="505F0F69" w14:textId="045220AE" w:rsidR="002C57A8" w:rsidRPr="002C57A8" w:rsidRDefault="002C57A8" w:rsidP="00C553B6"/>
    <w:p w14:paraId="742470B3" w14:textId="77777777" w:rsidR="00C553B6" w:rsidRDefault="00C553B6" w:rsidP="00C553B6"/>
    <w:sectPr w:rsidR="00C553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D7696" w14:textId="77777777" w:rsidR="00035149" w:rsidRDefault="00035149" w:rsidP="00C553B6">
      <w:pPr>
        <w:spacing w:after="0" w:line="240" w:lineRule="auto"/>
      </w:pPr>
      <w:r>
        <w:separator/>
      </w:r>
    </w:p>
  </w:endnote>
  <w:endnote w:type="continuationSeparator" w:id="0">
    <w:p w14:paraId="51CB85AF" w14:textId="77777777" w:rsidR="00035149" w:rsidRDefault="00035149" w:rsidP="00C55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56571" w14:textId="77777777" w:rsidR="00035149" w:rsidRDefault="00035149" w:rsidP="00C553B6">
      <w:pPr>
        <w:spacing w:after="0" w:line="240" w:lineRule="auto"/>
      </w:pPr>
      <w:r>
        <w:separator/>
      </w:r>
    </w:p>
  </w:footnote>
  <w:footnote w:type="continuationSeparator" w:id="0">
    <w:p w14:paraId="11050B6D" w14:textId="77777777" w:rsidR="00035149" w:rsidRDefault="00035149" w:rsidP="00C553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3B6"/>
    <w:rsid w:val="0003119A"/>
    <w:rsid w:val="00035149"/>
    <w:rsid w:val="000A4054"/>
    <w:rsid w:val="001845A5"/>
    <w:rsid w:val="00196BC0"/>
    <w:rsid w:val="002500A2"/>
    <w:rsid w:val="0026722F"/>
    <w:rsid w:val="002C57A8"/>
    <w:rsid w:val="00313B2C"/>
    <w:rsid w:val="003435CA"/>
    <w:rsid w:val="003E288B"/>
    <w:rsid w:val="003F322A"/>
    <w:rsid w:val="00473853"/>
    <w:rsid w:val="004D09AC"/>
    <w:rsid w:val="004F5070"/>
    <w:rsid w:val="00616643"/>
    <w:rsid w:val="00631437"/>
    <w:rsid w:val="00687060"/>
    <w:rsid w:val="006C3524"/>
    <w:rsid w:val="00800899"/>
    <w:rsid w:val="0082382F"/>
    <w:rsid w:val="00833175"/>
    <w:rsid w:val="00863417"/>
    <w:rsid w:val="009543FF"/>
    <w:rsid w:val="009B0D08"/>
    <w:rsid w:val="00A770C9"/>
    <w:rsid w:val="00A91D22"/>
    <w:rsid w:val="00B073FA"/>
    <w:rsid w:val="00B77F96"/>
    <w:rsid w:val="00C553B6"/>
    <w:rsid w:val="00CF5940"/>
    <w:rsid w:val="00DE7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B5A9B"/>
  <w15:chartTrackingRefBased/>
  <w15:docId w15:val="{E0E8CBDD-FD0A-4A26-8F29-779BA1B6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53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53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53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53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53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53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53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53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53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3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53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53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53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53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53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53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53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53B6"/>
    <w:rPr>
      <w:rFonts w:eastAsiaTheme="majorEastAsia" w:cstheme="majorBidi"/>
      <w:color w:val="272727" w:themeColor="text1" w:themeTint="D8"/>
    </w:rPr>
  </w:style>
  <w:style w:type="paragraph" w:styleId="Title">
    <w:name w:val="Title"/>
    <w:basedOn w:val="Normal"/>
    <w:next w:val="Normal"/>
    <w:link w:val="TitleChar"/>
    <w:uiPriority w:val="10"/>
    <w:qFormat/>
    <w:rsid w:val="00C553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53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53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53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53B6"/>
    <w:pPr>
      <w:spacing w:before="160"/>
      <w:jc w:val="center"/>
    </w:pPr>
    <w:rPr>
      <w:i/>
      <w:iCs/>
      <w:color w:val="404040" w:themeColor="text1" w:themeTint="BF"/>
    </w:rPr>
  </w:style>
  <w:style w:type="character" w:customStyle="1" w:styleId="QuoteChar">
    <w:name w:val="Quote Char"/>
    <w:basedOn w:val="DefaultParagraphFont"/>
    <w:link w:val="Quote"/>
    <w:uiPriority w:val="29"/>
    <w:rsid w:val="00C553B6"/>
    <w:rPr>
      <w:i/>
      <w:iCs/>
      <w:color w:val="404040" w:themeColor="text1" w:themeTint="BF"/>
    </w:rPr>
  </w:style>
  <w:style w:type="paragraph" w:styleId="ListParagraph">
    <w:name w:val="List Paragraph"/>
    <w:basedOn w:val="Normal"/>
    <w:uiPriority w:val="34"/>
    <w:qFormat/>
    <w:rsid w:val="00C553B6"/>
    <w:pPr>
      <w:ind w:left="720"/>
      <w:contextualSpacing/>
    </w:pPr>
  </w:style>
  <w:style w:type="character" w:styleId="IntenseEmphasis">
    <w:name w:val="Intense Emphasis"/>
    <w:basedOn w:val="DefaultParagraphFont"/>
    <w:uiPriority w:val="21"/>
    <w:qFormat/>
    <w:rsid w:val="00C553B6"/>
    <w:rPr>
      <w:i/>
      <w:iCs/>
      <w:color w:val="0F4761" w:themeColor="accent1" w:themeShade="BF"/>
    </w:rPr>
  </w:style>
  <w:style w:type="paragraph" w:styleId="IntenseQuote">
    <w:name w:val="Intense Quote"/>
    <w:basedOn w:val="Normal"/>
    <w:next w:val="Normal"/>
    <w:link w:val="IntenseQuoteChar"/>
    <w:uiPriority w:val="30"/>
    <w:qFormat/>
    <w:rsid w:val="00C553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53B6"/>
    <w:rPr>
      <w:i/>
      <w:iCs/>
      <w:color w:val="0F4761" w:themeColor="accent1" w:themeShade="BF"/>
    </w:rPr>
  </w:style>
  <w:style w:type="character" w:styleId="IntenseReference">
    <w:name w:val="Intense Reference"/>
    <w:basedOn w:val="DefaultParagraphFont"/>
    <w:uiPriority w:val="32"/>
    <w:qFormat/>
    <w:rsid w:val="00C553B6"/>
    <w:rPr>
      <w:b/>
      <w:bCs/>
      <w:smallCaps/>
      <w:color w:val="0F4761" w:themeColor="accent1" w:themeShade="BF"/>
      <w:spacing w:val="5"/>
    </w:rPr>
  </w:style>
  <w:style w:type="paragraph" w:styleId="FootnoteText">
    <w:name w:val="footnote text"/>
    <w:basedOn w:val="Normal"/>
    <w:link w:val="FootnoteTextChar"/>
    <w:uiPriority w:val="99"/>
    <w:semiHidden/>
    <w:unhideWhenUsed/>
    <w:rsid w:val="00C553B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3B6"/>
    <w:rPr>
      <w:sz w:val="20"/>
      <w:szCs w:val="20"/>
    </w:rPr>
  </w:style>
  <w:style w:type="character" w:styleId="FootnoteReference">
    <w:name w:val="footnote reference"/>
    <w:basedOn w:val="DefaultParagraphFont"/>
    <w:uiPriority w:val="99"/>
    <w:semiHidden/>
    <w:unhideWhenUsed/>
    <w:rsid w:val="00C553B6"/>
    <w:rPr>
      <w:vertAlign w:val="superscript"/>
    </w:rPr>
  </w:style>
  <w:style w:type="character" w:styleId="Hyperlink">
    <w:name w:val="Hyperlink"/>
    <w:basedOn w:val="DefaultParagraphFont"/>
    <w:uiPriority w:val="99"/>
    <w:unhideWhenUsed/>
    <w:rsid w:val="009543FF"/>
    <w:rPr>
      <w:color w:val="467886" w:themeColor="hyperlink"/>
      <w:u w:val="single"/>
    </w:rPr>
  </w:style>
  <w:style w:type="character" w:styleId="UnresolvedMention">
    <w:name w:val="Unresolved Mention"/>
    <w:basedOn w:val="DefaultParagraphFont"/>
    <w:uiPriority w:val="99"/>
    <w:semiHidden/>
    <w:unhideWhenUsed/>
    <w:rsid w:val="00954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ms.gov/files/zip/cy-2026-pfs-final-rule-cy-2025-analytic-crosswalk-cy-2026.zi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3B4A-3D26-4D3B-93FA-170FAFEF0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Sheffield, Chava (CMS/CM)</dc:creator>
  <cp:keywords/>
  <dc:description/>
  <cp:lastModifiedBy>Soracoe, Michael (CMS/CM)</cp:lastModifiedBy>
  <cp:revision>2</cp:revision>
  <dcterms:created xsi:type="dcterms:W3CDTF">2025-11-03T18:57:00Z</dcterms:created>
  <dcterms:modified xsi:type="dcterms:W3CDTF">2025-11-03T18:57:00Z</dcterms:modified>
</cp:coreProperties>
</file>