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032" w:rsidRDefault="00436032" w:rsidP="00CC2F3B">
      <w:pPr>
        <w:spacing w:before="240"/>
      </w:pPr>
      <w:r>
        <w:rPr>
          <w:noProof/>
        </w:rPr>
        <w:drawing>
          <wp:inline distT="0" distB="0" distL="0" distR="0">
            <wp:extent cx="3149600" cy="1111250"/>
            <wp:effectExtent l="0" t="0" r="0" b="6350"/>
            <wp:docPr id="4" name="Picture 1" descr="eQual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uality Logo"/>
                    <pic:cNvPicPr>
                      <a:picLocks noChangeAspect="1" noChangeArrowheads="1"/>
                    </pic:cNvPicPr>
                  </pic:nvPicPr>
                  <pic:blipFill>
                    <a:blip r:embed="rId8" cstate="print"/>
                    <a:srcRect/>
                    <a:stretch>
                      <a:fillRect/>
                    </a:stretch>
                  </pic:blipFill>
                  <pic:spPr bwMode="auto">
                    <a:xfrm>
                      <a:off x="0" y="0"/>
                      <a:ext cx="3149600" cy="1111250"/>
                    </a:xfrm>
                    <a:prstGeom prst="rect">
                      <a:avLst/>
                    </a:prstGeom>
                    <a:noFill/>
                    <a:ln w="9525">
                      <a:noFill/>
                      <a:miter lim="800000"/>
                      <a:headEnd/>
                      <a:tailEnd/>
                    </a:ln>
                  </pic:spPr>
                </pic:pic>
              </a:graphicData>
            </a:graphic>
          </wp:inline>
        </w:drawing>
      </w:r>
    </w:p>
    <w:p w:rsidR="00436032" w:rsidRPr="0045740F" w:rsidRDefault="00436032" w:rsidP="00436032">
      <w:pPr>
        <w:jc w:val="center"/>
      </w:pPr>
    </w:p>
    <w:p w:rsidR="00436032" w:rsidRPr="0045740F" w:rsidRDefault="00436032" w:rsidP="00436032">
      <w:pPr>
        <w:jc w:val="center"/>
      </w:pPr>
    </w:p>
    <w:p w:rsidR="00436032" w:rsidRDefault="00436032" w:rsidP="00436032"/>
    <w:p w:rsidR="00436032" w:rsidRDefault="00436032" w:rsidP="00436032">
      <w:pPr>
        <w:pStyle w:val="Title"/>
      </w:pPr>
      <w:r>
        <w:t>Task 4C</w:t>
      </w:r>
      <w:r w:rsidRPr="0046284B">
        <w:t>:</w:t>
      </w:r>
      <w:r>
        <w:t xml:space="preserve"> </w:t>
      </w:r>
      <w:r w:rsidRPr="000251C8">
        <w:t>Technical Expert Panel Report</w:t>
      </w:r>
      <w:r w:rsidRPr="000251C8">
        <w:br/>
        <w:t>Continuity Assessment Record &amp; Evaluation</w:t>
      </w:r>
    </w:p>
    <w:p w:rsidR="00436032" w:rsidRPr="00224E32" w:rsidRDefault="00436032" w:rsidP="00436032">
      <w:pPr>
        <w:pStyle w:val="SubTitle"/>
      </w:pPr>
      <w:r w:rsidRPr="002D22BD">
        <w:t>SOD #18</w:t>
      </w:r>
    </w:p>
    <w:p w:rsidR="00436032" w:rsidRDefault="00436032" w:rsidP="00436032">
      <w:pPr>
        <w:pStyle w:val="SubTitle"/>
      </w:pPr>
      <w:r w:rsidRPr="00986187">
        <w:t>Electronic Specification of Clinical Quality Measures &amp; Support</w:t>
      </w:r>
      <w:r>
        <w:t xml:space="preserve"> </w:t>
      </w:r>
      <w:r w:rsidRPr="00986187">
        <w:t>Contract</w:t>
      </w:r>
      <w:r>
        <w:t xml:space="preserve"> </w:t>
      </w:r>
      <w:r w:rsidRPr="00986187">
        <w:t># HHSM-500-2011-00104C</w:t>
      </w:r>
      <w:r>
        <w:br/>
      </w:r>
      <w:r w:rsidRPr="00986187">
        <w:t>Task Order #CMS-9302011-EQ</w:t>
      </w:r>
    </w:p>
    <w:p w:rsidR="00436032" w:rsidRDefault="00311AD6" w:rsidP="00436032">
      <w:pPr>
        <w:pStyle w:val="SubTitle"/>
      </w:pPr>
      <w:r>
        <w:t>July 5</w:t>
      </w:r>
      <w:r w:rsidR="00436032" w:rsidRPr="00981CCB">
        <w:t>, 2012</w:t>
      </w:r>
    </w:p>
    <w:p w:rsidR="00436032" w:rsidRPr="006E249E" w:rsidRDefault="00436032" w:rsidP="00436032">
      <w:pPr>
        <w:pStyle w:val="SubTitle"/>
        <w:rPr>
          <w:sz w:val="24"/>
        </w:rPr>
      </w:pPr>
      <w:r w:rsidRPr="006E249E">
        <w:rPr>
          <w:sz w:val="24"/>
        </w:rPr>
        <w:t>Prepared for:</w:t>
      </w:r>
      <w:r w:rsidRPr="006E249E">
        <w:rPr>
          <w:sz w:val="24"/>
        </w:rPr>
        <w:br/>
        <w:t>Deborah Krauss</w:t>
      </w:r>
      <w:r w:rsidRPr="006E249E">
        <w:rPr>
          <w:sz w:val="24"/>
        </w:rPr>
        <w:br/>
        <w:t>Division of Health Information Technology</w:t>
      </w:r>
      <w:r w:rsidRPr="006E249E">
        <w:rPr>
          <w:sz w:val="24"/>
        </w:rPr>
        <w:br/>
        <w:t>Quality Measurement &amp; Health Assessment Group</w:t>
      </w:r>
      <w:r w:rsidRPr="006E249E">
        <w:rPr>
          <w:sz w:val="24"/>
        </w:rPr>
        <w:br/>
      </w:r>
      <w:r w:rsidR="000F3DD5">
        <w:rPr>
          <w:sz w:val="24"/>
        </w:rPr>
        <w:t xml:space="preserve">Center for </w:t>
      </w:r>
      <w:r w:rsidRPr="006E249E">
        <w:rPr>
          <w:sz w:val="24"/>
        </w:rPr>
        <w:t>Clinical Standards &amp; Quality</w:t>
      </w:r>
      <w:r w:rsidRPr="006E249E">
        <w:rPr>
          <w:sz w:val="24"/>
        </w:rPr>
        <w:br/>
      </w:r>
      <w:r w:rsidR="0013592A">
        <w:rPr>
          <w:sz w:val="24"/>
        </w:rPr>
        <w:t xml:space="preserve">The </w:t>
      </w:r>
      <w:r w:rsidRPr="006E249E">
        <w:rPr>
          <w:sz w:val="24"/>
        </w:rPr>
        <w:t>Centers for Medicare &amp; Medicaid Services</w:t>
      </w:r>
      <w:r w:rsidRPr="006E249E">
        <w:rPr>
          <w:sz w:val="24"/>
        </w:rPr>
        <w:br/>
        <w:t>7500 Security Blvd., Bldg. S3-09-04</w:t>
      </w:r>
      <w:r w:rsidRPr="006E249E">
        <w:rPr>
          <w:sz w:val="24"/>
        </w:rPr>
        <w:br/>
        <w:t>Baltimore, MD 21244-1850</w:t>
      </w:r>
    </w:p>
    <w:p w:rsidR="00436032" w:rsidRPr="006E249E" w:rsidRDefault="00436032" w:rsidP="00436032">
      <w:pPr>
        <w:pStyle w:val="SubTitle"/>
        <w:rPr>
          <w:sz w:val="24"/>
        </w:rPr>
      </w:pPr>
      <w:r w:rsidRPr="006E249E">
        <w:rPr>
          <w:sz w:val="24"/>
        </w:rPr>
        <w:t>Submitted by:</w:t>
      </w:r>
      <w:r w:rsidRPr="006E249E">
        <w:rPr>
          <w:sz w:val="24"/>
        </w:rPr>
        <w:br/>
        <w:t>Lantana Consulting Group</w:t>
      </w:r>
      <w:r w:rsidRPr="006E249E">
        <w:rPr>
          <w:sz w:val="24"/>
        </w:rPr>
        <w:br/>
        <w:t>PO Box 177</w:t>
      </w:r>
      <w:r w:rsidRPr="006E249E">
        <w:rPr>
          <w:sz w:val="24"/>
        </w:rPr>
        <w:br/>
        <w:t>East Thetford, VT 05043</w:t>
      </w:r>
    </w:p>
    <w:p w:rsidR="00436032" w:rsidRDefault="00436032" w:rsidP="00436032"/>
    <w:p w:rsidR="00436032" w:rsidRPr="00986187" w:rsidRDefault="00436032" w:rsidP="00436032"/>
    <w:p w:rsidR="00436032" w:rsidRDefault="00436032" w:rsidP="00436032">
      <w:pPr>
        <w:rPr>
          <w:noProof/>
        </w:rPr>
      </w:pPr>
      <w:r>
        <w:rPr>
          <w:noProof/>
        </w:rPr>
        <w:drawing>
          <wp:inline distT="0" distB="0" distL="0" distR="0">
            <wp:extent cx="1555750" cy="361950"/>
            <wp:effectExtent l="19050" t="0" r="6350" b="0"/>
            <wp:docPr id="2" name="Picture 5" descr="Lantana Consulting Grou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ntana Consulting Group logo"/>
                    <pic:cNvPicPr>
                      <a:picLocks noChangeAspect="1" noChangeArrowheads="1"/>
                    </pic:cNvPicPr>
                  </pic:nvPicPr>
                  <pic:blipFill>
                    <a:blip r:embed="rId9" cstate="print"/>
                    <a:srcRect/>
                    <a:stretch>
                      <a:fillRect/>
                    </a:stretch>
                  </pic:blipFill>
                  <pic:spPr bwMode="auto">
                    <a:xfrm>
                      <a:off x="0" y="0"/>
                      <a:ext cx="1555750" cy="361950"/>
                    </a:xfrm>
                    <a:prstGeom prst="rect">
                      <a:avLst/>
                    </a:prstGeom>
                    <a:noFill/>
                    <a:ln w="9525">
                      <a:noFill/>
                      <a:miter lim="800000"/>
                      <a:headEnd/>
                      <a:tailEnd/>
                    </a:ln>
                  </pic:spPr>
                </pic:pic>
              </a:graphicData>
            </a:graphic>
          </wp:inline>
        </w:drawing>
      </w:r>
    </w:p>
    <w:p w:rsidR="00436032" w:rsidRDefault="00436032" w:rsidP="00436032">
      <w:pPr>
        <w:rPr>
          <w:noProof/>
        </w:rPr>
      </w:pPr>
      <w:r>
        <w:rPr>
          <w:noProof/>
        </w:rPr>
        <w:drawing>
          <wp:inline distT="0" distB="0" distL="0" distR="0">
            <wp:extent cx="1555750" cy="495300"/>
            <wp:effectExtent l="19050" t="0" r="6350" b="0"/>
            <wp:docPr id="3" name="Picture 1" descr="Centers for Medicare &amp; Medicaid Servic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S logo: Centers for Medicare and Medicaid Services"/>
                    <pic:cNvPicPr>
                      <a:picLocks noChangeAspect="1" noChangeArrowheads="1"/>
                    </pic:cNvPicPr>
                  </pic:nvPicPr>
                  <pic:blipFill>
                    <a:blip r:embed="rId10" cstate="print"/>
                    <a:srcRect/>
                    <a:stretch>
                      <a:fillRect/>
                    </a:stretch>
                  </pic:blipFill>
                  <pic:spPr bwMode="auto">
                    <a:xfrm>
                      <a:off x="0" y="0"/>
                      <a:ext cx="1555750" cy="495300"/>
                    </a:xfrm>
                    <a:prstGeom prst="rect">
                      <a:avLst/>
                    </a:prstGeom>
                    <a:noFill/>
                    <a:ln w="9525">
                      <a:noFill/>
                      <a:miter lim="800000"/>
                      <a:headEnd/>
                      <a:tailEnd/>
                    </a:ln>
                  </pic:spPr>
                </pic:pic>
              </a:graphicData>
            </a:graphic>
          </wp:inline>
        </w:drawing>
      </w:r>
    </w:p>
    <w:p w:rsidR="00E04046" w:rsidRPr="00164FBB" w:rsidRDefault="00E04046" w:rsidP="00E04046">
      <w:pPr>
        <w:pStyle w:val="BodyText"/>
      </w:pPr>
      <w:proofErr w:type="gramStart"/>
      <w:r w:rsidRPr="00F86390">
        <w:rPr>
          <w:b/>
        </w:rPr>
        <w:t>© 2012 Lantana Consulting Group</w:t>
      </w:r>
      <w:r>
        <w:t>.</w:t>
      </w:r>
      <w:proofErr w:type="gramEnd"/>
      <w:r>
        <w:t xml:space="preserve"> </w:t>
      </w:r>
      <w:r w:rsidRPr="00164FBB">
        <w:t xml:space="preserve">All rights reserved. </w:t>
      </w:r>
    </w:p>
    <w:p w:rsidR="00E04046" w:rsidRPr="001F0023" w:rsidRDefault="00E04046" w:rsidP="00E04046">
      <w:pPr>
        <w:pStyle w:val="BodyText"/>
      </w:pPr>
      <w:r w:rsidRPr="00F86390">
        <w:rPr>
          <w:b/>
        </w:rPr>
        <w:lastRenderedPageBreak/>
        <w:t>Lantana</w:t>
      </w:r>
      <w:r w:rsidRPr="001F0023">
        <w:t xml:space="preserve"> </w:t>
      </w:r>
      <w:r w:rsidRPr="00F86390">
        <w:rPr>
          <w:b/>
        </w:rPr>
        <w:t>Consulting</w:t>
      </w:r>
      <w:r w:rsidRPr="001F0023">
        <w:t xml:space="preserve"> </w:t>
      </w:r>
      <w:r w:rsidRPr="00F86390">
        <w:rPr>
          <w:b/>
        </w:rPr>
        <w:t>Group</w:t>
      </w:r>
      <w:r w:rsidRPr="001F0023">
        <w:br/>
        <w:t>PO Box 177</w:t>
      </w:r>
      <w:r w:rsidRPr="001F0023">
        <w:br/>
        <w:t>East Thetford, VT 05043</w:t>
      </w:r>
      <w:r w:rsidRPr="001F0023">
        <w:br/>
      </w:r>
      <w:hyperlink r:id="rId11" w:history="1">
        <w:r w:rsidRPr="001F0023">
          <w:t>www.lantanagroup.com</w:t>
        </w:r>
      </w:hyperlink>
    </w:p>
    <w:p w:rsidR="00E04046" w:rsidRPr="001F0023" w:rsidRDefault="00E04046" w:rsidP="00E04046">
      <w:pPr>
        <w:pStyle w:val="BodyText"/>
        <w:rPr>
          <w:b/>
        </w:rPr>
      </w:pPr>
      <w:proofErr w:type="gramStart"/>
      <w:r w:rsidRPr="001F0023">
        <w:rPr>
          <w:b/>
        </w:rPr>
        <w:t>eQuality</w:t>
      </w:r>
      <w:proofErr w:type="gramEnd"/>
      <w:r w:rsidRPr="001F0023">
        <w:rPr>
          <w:b/>
        </w:rPr>
        <w:t xml:space="preserve"> Contributors</w:t>
      </w:r>
    </w:p>
    <w:p w:rsidR="00EC747E" w:rsidRDefault="00335C59" w:rsidP="00EC747E">
      <w:pPr>
        <w:pStyle w:val="BodyText"/>
      </w:pPr>
      <w:bookmarkStart w:id="0" w:name="_GoBack"/>
      <w:bookmarkEnd w:id="0"/>
      <w:r>
        <w:t>Bob Dolin, MD, FACP</w:t>
      </w:r>
      <w:r w:rsidR="00EC747E">
        <w:br/>
      </w:r>
      <w:r>
        <w:t>President and Chief Medical Officer</w:t>
      </w:r>
      <w:r w:rsidR="00EC747E">
        <w:t>, Lantana Consulting Group</w:t>
      </w:r>
      <w:r w:rsidR="00EC747E">
        <w:br/>
      </w:r>
      <w:r>
        <w:t>bob.dolin</w:t>
      </w:r>
      <w:r w:rsidR="00EC747E">
        <w:t>@lantanagroup.com</w:t>
      </w:r>
    </w:p>
    <w:p w:rsidR="00335C59" w:rsidRDefault="00335C59" w:rsidP="00335C59">
      <w:pPr>
        <w:pStyle w:val="BodyText"/>
      </w:pPr>
      <w:bookmarkStart w:id="1" w:name="_Toc313012853"/>
      <w:bookmarkStart w:id="2" w:name="_Toc313013273"/>
      <w:bookmarkStart w:id="3" w:name="_Toc315243440"/>
      <w:bookmarkStart w:id="4" w:name="_Toc315248479"/>
      <w:bookmarkStart w:id="5" w:name="_Toc315290272"/>
      <w:bookmarkStart w:id="6" w:name="_Toc315434571"/>
      <w:bookmarkStart w:id="7" w:name="_Toc315450236"/>
      <w:bookmarkStart w:id="8" w:name="_Toc189383362"/>
      <w:bookmarkStart w:id="9" w:name="_Toc315686789"/>
      <w:bookmarkStart w:id="10" w:name="_Toc315697355"/>
      <w:bookmarkStart w:id="11" w:name="_Toc189565462"/>
      <w:bookmarkStart w:id="12" w:name="_Toc278296810"/>
      <w:bookmarkStart w:id="13" w:name="_Toc278382381"/>
      <w:bookmarkStart w:id="14" w:name="_Toc278296809"/>
      <w:bookmarkStart w:id="15" w:name="_Toc152394518"/>
      <w:bookmarkStart w:id="16" w:name="_Toc152564637"/>
      <w:bookmarkStart w:id="17" w:name="_Toc151178225"/>
      <w:bookmarkStart w:id="18" w:name="_Toc151209530"/>
      <w:bookmarkStart w:id="19" w:name="_Toc151386098"/>
      <w:r>
        <w:t>Zabrina Gonzaga</w:t>
      </w:r>
      <w:r>
        <w:br/>
        <w:t>Senior Nurse Informaticist, Lantana Consulting Group</w:t>
      </w:r>
      <w:r>
        <w:br/>
        <w:t>zabrina.gonzaga@lantanagroup.com</w:t>
      </w:r>
    </w:p>
    <w:p w:rsidR="00FA2610" w:rsidRDefault="00FA2610" w:rsidP="00EC747E">
      <w:pPr>
        <w:pStyle w:val="BodyText"/>
      </w:pPr>
      <w:r>
        <w:t>Victoria Polich</w:t>
      </w:r>
      <w:r>
        <w:br/>
      </w:r>
      <w:r w:rsidR="007E24AF">
        <w:t>Program Manager</w:t>
      </w:r>
      <w:r>
        <w:t>, Telligen</w:t>
      </w:r>
      <w:r>
        <w:br/>
        <w:t>vpolich</w:t>
      </w:r>
      <w:r w:rsidRPr="00335C59">
        <w:t>@telligen.org</w:t>
      </w:r>
    </w:p>
    <w:p w:rsidR="00FA2610" w:rsidRDefault="00335C59" w:rsidP="00EC747E">
      <w:pPr>
        <w:pStyle w:val="BodyText"/>
      </w:pPr>
      <w:r>
        <w:t>Stan Rankins</w:t>
      </w:r>
      <w:r>
        <w:br/>
      </w:r>
      <w:r w:rsidR="00FA2610">
        <w:t>HIT Solution Analyst</w:t>
      </w:r>
      <w:r>
        <w:t>, Telligen</w:t>
      </w:r>
      <w:r>
        <w:br/>
      </w:r>
      <w:hyperlink r:id="rId12" w:history="1">
        <w:r w:rsidR="00FA2610" w:rsidRPr="00FA2610">
          <w:t>srankins@telligen.org</w:t>
        </w:r>
      </w:hyperlink>
    </w:p>
    <w:p w:rsidR="00CC2F3B" w:rsidRPr="00EC747E" w:rsidRDefault="00CC2F3B" w:rsidP="00EC747E">
      <w:pPr>
        <w:pStyle w:val="BodyText"/>
      </w:pPr>
      <w:r>
        <w:br w:type="page"/>
      </w:r>
    </w:p>
    <w:p w:rsidR="00436032" w:rsidRDefault="00436032" w:rsidP="00CC2F3B">
      <w:pPr>
        <w:pStyle w:val="TOCTitle"/>
        <w:spacing w:before="240"/>
      </w:pPr>
      <w:r>
        <w:lastRenderedPageBreak/>
        <w:t>Table of Contents</w:t>
      </w:r>
      <w:bookmarkEnd w:id="1"/>
      <w:bookmarkEnd w:id="2"/>
      <w:bookmarkEnd w:id="3"/>
      <w:bookmarkEnd w:id="4"/>
      <w:bookmarkEnd w:id="5"/>
      <w:bookmarkEnd w:id="6"/>
      <w:bookmarkEnd w:id="7"/>
      <w:bookmarkEnd w:id="8"/>
      <w:bookmarkEnd w:id="9"/>
      <w:bookmarkEnd w:id="10"/>
      <w:bookmarkEnd w:id="11"/>
    </w:p>
    <w:bookmarkStart w:id="20" w:name="_Toc194058989"/>
    <w:bookmarkStart w:id="21" w:name="_Toc194131590"/>
    <w:p w:rsidR="00723977" w:rsidRDefault="000047DA">
      <w:pPr>
        <w:pStyle w:val="TOC1"/>
        <w:rPr>
          <w:rFonts w:asciiTheme="minorHAnsi" w:eastAsiaTheme="minorEastAsia" w:hAnsiTheme="minorHAnsi" w:cstheme="minorBidi"/>
          <w:caps w:val="0"/>
          <w:szCs w:val="22"/>
        </w:rPr>
      </w:pPr>
      <w:r w:rsidRPr="000047DA">
        <w:fldChar w:fldCharType="begin"/>
      </w:r>
      <w:r w:rsidR="00436032">
        <w:instrText xml:space="preserve"> TOC \o "1-2" </w:instrText>
      </w:r>
      <w:r w:rsidRPr="000047DA">
        <w:fldChar w:fldCharType="separate"/>
      </w:r>
      <w:r w:rsidR="00723977">
        <w:t>Meeting Date and Panel Composition</w:t>
      </w:r>
      <w:r w:rsidR="00723977">
        <w:tab/>
      </w:r>
      <w:r>
        <w:fldChar w:fldCharType="begin"/>
      </w:r>
      <w:r w:rsidR="00723977">
        <w:instrText xml:space="preserve"> PAGEREF _Toc332110611 \h </w:instrText>
      </w:r>
      <w:r>
        <w:fldChar w:fldCharType="separate"/>
      </w:r>
      <w:r w:rsidR="00723977">
        <w:t>4</w:t>
      </w:r>
      <w:r>
        <w:fldChar w:fldCharType="end"/>
      </w:r>
    </w:p>
    <w:p w:rsidR="00723977" w:rsidRDefault="00723977">
      <w:pPr>
        <w:pStyle w:val="TOC1"/>
        <w:rPr>
          <w:rFonts w:asciiTheme="minorHAnsi" w:eastAsiaTheme="minorEastAsia" w:hAnsiTheme="minorHAnsi" w:cstheme="minorBidi"/>
          <w:caps w:val="0"/>
          <w:szCs w:val="22"/>
        </w:rPr>
      </w:pPr>
      <w:r>
        <w:t>Purpose and Objectives</w:t>
      </w:r>
      <w:r>
        <w:tab/>
      </w:r>
      <w:r w:rsidR="000047DA">
        <w:fldChar w:fldCharType="begin"/>
      </w:r>
      <w:r>
        <w:instrText xml:space="preserve"> PAGEREF _Toc332110612 \h </w:instrText>
      </w:r>
      <w:r w:rsidR="000047DA">
        <w:fldChar w:fldCharType="separate"/>
      </w:r>
      <w:r>
        <w:t>5</w:t>
      </w:r>
      <w:r w:rsidR="000047DA">
        <w:fldChar w:fldCharType="end"/>
      </w:r>
    </w:p>
    <w:p w:rsidR="00723977" w:rsidRDefault="00723977">
      <w:pPr>
        <w:pStyle w:val="TOC1"/>
        <w:rPr>
          <w:rFonts w:asciiTheme="minorHAnsi" w:eastAsiaTheme="minorEastAsia" w:hAnsiTheme="minorHAnsi" w:cstheme="minorBidi"/>
          <w:caps w:val="0"/>
          <w:szCs w:val="22"/>
        </w:rPr>
      </w:pPr>
      <w:r>
        <w:t>CARE Standards Development</w:t>
      </w:r>
      <w:r>
        <w:tab/>
      </w:r>
      <w:r w:rsidR="000047DA">
        <w:fldChar w:fldCharType="begin"/>
      </w:r>
      <w:r>
        <w:instrText xml:space="preserve"> PAGEREF _Toc332110613 \h </w:instrText>
      </w:r>
      <w:r w:rsidR="000047DA">
        <w:fldChar w:fldCharType="separate"/>
      </w:r>
      <w:r>
        <w:t>5</w:t>
      </w:r>
      <w:r w:rsidR="000047DA">
        <w:fldChar w:fldCharType="end"/>
      </w:r>
    </w:p>
    <w:p w:rsidR="00723977" w:rsidRDefault="00723977">
      <w:pPr>
        <w:pStyle w:val="TOC2"/>
        <w:rPr>
          <w:rFonts w:asciiTheme="minorHAnsi" w:eastAsiaTheme="minorEastAsia" w:hAnsiTheme="minorHAnsi" w:cstheme="minorBidi"/>
          <w:szCs w:val="22"/>
        </w:rPr>
      </w:pPr>
      <w:r>
        <w:t>Industry Outreach</w:t>
      </w:r>
      <w:r>
        <w:tab/>
      </w:r>
      <w:r w:rsidR="000047DA">
        <w:fldChar w:fldCharType="begin"/>
      </w:r>
      <w:r>
        <w:instrText xml:space="preserve"> PAGEREF _Toc332110614 \h </w:instrText>
      </w:r>
      <w:r w:rsidR="000047DA">
        <w:fldChar w:fldCharType="separate"/>
      </w:r>
      <w:r>
        <w:t>5</w:t>
      </w:r>
      <w:r w:rsidR="000047DA">
        <w:fldChar w:fldCharType="end"/>
      </w:r>
    </w:p>
    <w:p w:rsidR="00723977" w:rsidRDefault="00723977">
      <w:pPr>
        <w:pStyle w:val="TOC2"/>
        <w:rPr>
          <w:rFonts w:asciiTheme="minorHAnsi" w:eastAsiaTheme="minorEastAsia" w:hAnsiTheme="minorHAnsi" w:cstheme="minorBidi"/>
          <w:szCs w:val="22"/>
        </w:rPr>
      </w:pPr>
      <w:r>
        <w:t>HL7 Ballot Strategy</w:t>
      </w:r>
      <w:r>
        <w:tab/>
      </w:r>
      <w:r w:rsidR="000047DA">
        <w:fldChar w:fldCharType="begin"/>
      </w:r>
      <w:r>
        <w:instrText xml:space="preserve"> PAGEREF _Toc332110615 \h </w:instrText>
      </w:r>
      <w:r w:rsidR="000047DA">
        <w:fldChar w:fldCharType="separate"/>
      </w:r>
      <w:r>
        <w:t>6</w:t>
      </w:r>
      <w:r w:rsidR="000047DA">
        <w:fldChar w:fldCharType="end"/>
      </w:r>
    </w:p>
    <w:p w:rsidR="00723977" w:rsidRDefault="00723977">
      <w:pPr>
        <w:pStyle w:val="TOC2"/>
        <w:rPr>
          <w:rFonts w:asciiTheme="minorHAnsi" w:eastAsiaTheme="minorEastAsia" w:hAnsiTheme="minorHAnsi" w:cstheme="minorBidi"/>
          <w:szCs w:val="22"/>
        </w:rPr>
      </w:pPr>
      <w:r>
        <w:t>CARE Workflow Report</w:t>
      </w:r>
      <w:r>
        <w:tab/>
      </w:r>
      <w:r w:rsidR="000047DA">
        <w:fldChar w:fldCharType="begin"/>
      </w:r>
      <w:r>
        <w:instrText xml:space="preserve"> PAGEREF _Toc332110616 \h </w:instrText>
      </w:r>
      <w:r w:rsidR="000047DA">
        <w:fldChar w:fldCharType="separate"/>
      </w:r>
      <w:r>
        <w:t>7</w:t>
      </w:r>
      <w:r w:rsidR="000047DA">
        <w:fldChar w:fldCharType="end"/>
      </w:r>
    </w:p>
    <w:p w:rsidR="00723977" w:rsidRDefault="00723977">
      <w:pPr>
        <w:pStyle w:val="TOC2"/>
        <w:rPr>
          <w:rFonts w:asciiTheme="minorHAnsi" w:eastAsiaTheme="minorEastAsia" w:hAnsiTheme="minorHAnsi" w:cstheme="minorBidi"/>
          <w:szCs w:val="22"/>
        </w:rPr>
      </w:pPr>
      <w:r>
        <w:t>Mapping to NQF Quality Data Model (QDM)</w:t>
      </w:r>
      <w:r>
        <w:tab/>
      </w:r>
      <w:r w:rsidR="000047DA">
        <w:fldChar w:fldCharType="begin"/>
      </w:r>
      <w:r>
        <w:instrText xml:space="preserve"> PAGEREF _Toc332110617 \h </w:instrText>
      </w:r>
      <w:r w:rsidR="000047DA">
        <w:fldChar w:fldCharType="separate"/>
      </w:r>
      <w:r>
        <w:t>7</w:t>
      </w:r>
      <w:r w:rsidR="000047DA">
        <w:fldChar w:fldCharType="end"/>
      </w:r>
    </w:p>
    <w:p w:rsidR="00723977" w:rsidRDefault="00723977">
      <w:pPr>
        <w:pStyle w:val="TOC1"/>
        <w:rPr>
          <w:rFonts w:asciiTheme="minorHAnsi" w:eastAsiaTheme="minorEastAsia" w:hAnsiTheme="minorHAnsi" w:cstheme="minorBidi"/>
          <w:caps w:val="0"/>
          <w:szCs w:val="22"/>
        </w:rPr>
      </w:pPr>
      <w:r>
        <w:t>Findings and Recommendations</w:t>
      </w:r>
      <w:r>
        <w:tab/>
      </w:r>
      <w:r w:rsidR="000047DA">
        <w:fldChar w:fldCharType="begin"/>
      </w:r>
      <w:r>
        <w:instrText xml:space="preserve"> PAGEREF _Toc332110618 \h </w:instrText>
      </w:r>
      <w:r w:rsidR="000047DA">
        <w:fldChar w:fldCharType="separate"/>
      </w:r>
      <w:r>
        <w:t>7</w:t>
      </w:r>
      <w:r w:rsidR="000047DA">
        <w:fldChar w:fldCharType="end"/>
      </w:r>
    </w:p>
    <w:p w:rsidR="00723977" w:rsidRDefault="00723977">
      <w:pPr>
        <w:pStyle w:val="TOC2"/>
        <w:rPr>
          <w:rFonts w:asciiTheme="minorHAnsi" w:eastAsiaTheme="minorEastAsia" w:hAnsiTheme="minorHAnsi" w:cstheme="minorBidi"/>
          <w:szCs w:val="22"/>
        </w:rPr>
      </w:pPr>
      <w:r>
        <w:t>Options for Expanding Use of CARE as a Standardized Data Set</w:t>
      </w:r>
      <w:r>
        <w:tab/>
      </w:r>
      <w:r w:rsidR="000047DA">
        <w:fldChar w:fldCharType="begin"/>
      </w:r>
      <w:r>
        <w:instrText xml:space="preserve"> PAGEREF _Toc332110619 \h </w:instrText>
      </w:r>
      <w:r w:rsidR="000047DA">
        <w:fldChar w:fldCharType="separate"/>
      </w:r>
      <w:r>
        <w:t>7</w:t>
      </w:r>
      <w:r w:rsidR="000047DA">
        <w:fldChar w:fldCharType="end"/>
      </w:r>
    </w:p>
    <w:p w:rsidR="00723977" w:rsidRDefault="00723977">
      <w:pPr>
        <w:pStyle w:val="TOC1"/>
        <w:rPr>
          <w:rFonts w:asciiTheme="minorHAnsi" w:eastAsiaTheme="minorEastAsia" w:hAnsiTheme="minorHAnsi" w:cstheme="minorBidi"/>
          <w:caps w:val="0"/>
          <w:szCs w:val="22"/>
        </w:rPr>
      </w:pPr>
      <w:r>
        <w:t>Summary</w:t>
      </w:r>
      <w:r>
        <w:tab/>
      </w:r>
      <w:r w:rsidR="000047DA">
        <w:fldChar w:fldCharType="begin"/>
      </w:r>
      <w:r>
        <w:instrText xml:space="preserve"> PAGEREF _Toc332110620 \h </w:instrText>
      </w:r>
      <w:r w:rsidR="000047DA">
        <w:fldChar w:fldCharType="separate"/>
      </w:r>
      <w:r>
        <w:t>9</w:t>
      </w:r>
      <w:r w:rsidR="000047DA">
        <w:fldChar w:fldCharType="end"/>
      </w:r>
    </w:p>
    <w:p w:rsidR="00723977" w:rsidRDefault="00723977">
      <w:pPr>
        <w:pStyle w:val="TOC1"/>
        <w:rPr>
          <w:rFonts w:asciiTheme="minorHAnsi" w:eastAsiaTheme="minorEastAsia" w:hAnsiTheme="minorHAnsi" w:cstheme="minorBidi"/>
          <w:caps w:val="0"/>
          <w:szCs w:val="22"/>
        </w:rPr>
      </w:pPr>
      <w:r>
        <w:t>Action Items</w:t>
      </w:r>
      <w:r>
        <w:tab/>
      </w:r>
      <w:r w:rsidR="000047DA">
        <w:fldChar w:fldCharType="begin"/>
      </w:r>
      <w:r>
        <w:instrText xml:space="preserve"> PAGEREF _Toc332110621 \h </w:instrText>
      </w:r>
      <w:r w:rsidR="000047DA">
        <w:fldChar w:fldCharType="separate"/>
      </w:r>
      <w:r>
        <w:t>9</w:t>
      </w:r>
      <w:r w:rsidR="000047DA">
        <w:fldChar w:fldCharType="end"/>
      </w:r>
    </w:p>
    <w:p w:rsidR="00723977" w:rsidRDefault="00723977">
      <w:pPr>
        <w:pStyle w:val="TOC1"/>
        <w:rPr>
          <w:rFonts w:asciiTheme="minorHAnsi" w:eastAsiaTheme="minorEastAsia" w:hAnsiTheme="minorHAnsi" w:cstheme="minorBidi"/>
          <w:caps w:val="0"/>
          <w:szCs w:val="22"/>
        </w:rPr>
      </w:pPr>
      <w:r>
        <w:t>List of Acronyms and Abbreviations</w:t>
      </w:r>
      <w:r>
        <w:tab/>
      </w:r>
      <w:r w:rsidR="000047DA">
        <w:fldChar w:fldCharType="begin"/>
      </w:r>
      <w:r>
        <w:instrText xml:space="preserve"> PAGEREF _Toc332110622 \h </w:instrText>
      </w:r>
      <w:r w:rsidR="000047DA">
        <w:fldChar w:fldCharType="separate"/>
      </w:r>
      <w:r>
        <w:t>10</w:t>
      </w:r>
      <w:r w:rsidR="000047DA">
        <w:fldChar w:fldCharType="end"/>
      </w:r>
    </w:p>
    <w:p w:rsidR="00436032" w:rsidRDefault="000047DA" w:rsidP="00436032">
      <w:pPr>
        <w:pStyle w:val="BodyText"/>
        <w:rPr>
          <w:noProof/>
        </w:rPr>
      </w:pPr>
      <w:r>
        <w:rPr>
          <w:rFonts w:cs="Arial"/>
          <w:noProof/>
          <w:szCs w:val="20"/>
        </w:rPr>
        <w:fldChar w:fldCharType="end"/>
      </w:r>
    </w:p>
    <w:p w:rsidR="00436032" w:rsidRPr="00CC53E8" w:rsidRDefault="00436032" w:rsidP="00436032">
      <w:pPr>
        <w:pStyle w:val="BodyText0"/>
      </w:pPr>
    </w:p>
    <w:p w:rsidR="00436032" w:rsidRPr="00675D39" w:rsidRDefault="00436032" w:rsidP="00436032">
      <w:pPr>
        <w:pStyle w:val="BodyText0"/>
      </w:pPr>
    </w:p>
    <w:bookmarkEnd w:id="20"/>
    <w:bookmarkEnd w:id="21"/>
    <w:p w:rsidR="00CC2F3B" w:rsidRDefault="00CC2F3B">
      <w:pPr>
        <w:spacing w:after="200" w:line="276" w:lineRule="auto"/>
        <w:rPr>
          <w:rFonts w:ascii="Gill Sans MT" w:hAnsi="Gill Sans MT"/>
          <w:b/>
          <w:color w:val="4F81BD"/>
          <w:kern w:val="32"/>
          <w:sz w:val="32"/>
          <w:szCs w:val="32"/>
          <w:u w:color="F79646"/>
        </w:rPr>
      </w:pPr>
      <w:r>
        <w:br w:type="page"/>
      </w:r>
    </w:p>
    <w:p w:rsidR="00436032" w:rsidRPr="000251C8" w:rsidRDefault="00436032" w:rsidP="00436032">
      <w:pPr>
        <w:pStyle w:val="Heading1"/>
      </w:pPr>
      <w:bookmarkStart w:id="22" w:name="_Toc332110611"/>
      <w:r w:rsidRPr="000251C8">
        <w:lastRenderedPageBreak/>
        <w:t xml:space="preserve">Meeting Date and </w:t>
      </w:r>
      <w:r>
        <w:t>Panel C</w:t>
      </w:r>
      <w:r w:rsidRPr="000251C8">
        <w:t>omposition</w:t>
      </w:r>
      <w:bookmarkEnd w:id="22"/>
    </w:p>
    <w:p w:rsidR="00436032" w:rsidRPr="003643ED" w:rsidRDefault="00436032" w:rsidP="00436032">
      <w:pPr>
        <w:pStyle w:val="BodyText"/>
        <w:rPr>
          <w:b/>
          <w:bCs/>
        </w:rPr>
      </w:pPr>
      <w:r w:rsidRPr="003643ED">
        <w:t>The Continuity Assessment Record and Evaluation (CARE) Technical Expert Panel (TEP) met May 21, 2012</w:t>
      </w:r>
      <w:r>
        <w:t>,</w:t>
      </w:r>
      <w:r w:rsidRPr="003643ED">
        <w:t xml:space="preserve"> 1:30 PM – 5:30 PM EST </w:t>
      </w:r>
      <w:r>
        <w:t>in a web seminar</w:t>
      </w:r>
      <w:r w:rsidRPr="003643ED">
        <w:t xml:space="preserve"> hosted by Lantana.</w:t>
      </w:r>
    </w:p>
    <w:p w:rsidR="00436032" w:rsidRPr="003643ED" w:rsidRDefault="00436032" w:rsidP="00436032">
      <w:pPr>
        <w:pStyle w:val="BodyText"/>
        <w:rPr>
          <w:b/>
          <w:bCs/>
        </w:rPr>
      </w:pPr>
      <w:r w:rsidRPr="003643ED">
        <w:t xml:space="preserve">Twelve </w:t>
      </w:r>
      <w:r>
        <w:t>TEP</w:t>
      </w:r>
      <w:r w:rsidRPr="003643ED">
        <w:t xml:space="preserve"> members participated:</w:t>
      </w:r>
    </w:p>
    <w:p w:rsidR="00436032" w:rsidRPr="003643ED" w:rsidRDefault="00436032" w:rsidP="00436032">
      <w:pPr>
        <w:pStyle w:val="MemoBodyText"/>
        <w:ind w:left="720"/>
      </w:pPr>
      <w:r w:rsidRPr="003643ED">
        <w:rPr>
          <w:b/>
        </w:rPr>
        <w:t>Dana Alexander</w:t>
      </w:r>
      <w:r w:rsidRPr="003643ED">
        <w:t>, RN, MSN, MBA, FHIMSS, FAAN—VP and Chief Nursing Officer, GE Healthcare, Monument, CO</w:t>
      </w:r>
    </w:p>
    <w:p w:rsidR="00436032" w:rsidRPr="003643ED" w:rsidRDefault="00436032" w:rsidP="00436032">
      <w:pPr>
        <w:pStyle w:val="MemoBodyText"/>
        <w:ind w:left="720"/>
      </w:pPr>
      <w:r w:rsidRPr="003643ED">
        <w:rPr>
          <w:b/>
        </w:rPr>
        <w:t>Maria Arellano</w:t>
      </w:r>
      <w:r w:rsidRPr="003643ED">
        <w:t>, RN, MS—Nurse Informatics Specialist/Clinical Software Designer, American Health Tech, Broomfield, CO</w:t>
      </w:r>
    </w:p>
    <w:p w:rsidR="00436032" w:rsidRPr="003643ED" w:rsidRDefault="00436032" w:rsidP="00436032">
      <w:pPr>
        <w:pStyle w:val="MemoBodyText"/>
        <w:ind w:left="720"/>
      </w:pPr>
      <w:r w:rsidRPr="003643ED">
        <w:rPr>
          <w:b/>
        </w:rPr>
        <w:t>Dan Cobb</w:t>
      </w:r>
      <w:r w:rsidRPr="003643ED">
        <w:t>—Chief Technology Officer, HealthMEDX, Ozark, MO</w:t>
      </w:r>
    </w:p>
    <w:p w:rsidR="00436032" w:rsidRPr="003643ED" w:rsidRDefault="00436032" w:rsidP="00436032">
      <w:pPr>
        <w:pStyle w:val="MemoBodyText"/>
        <w:ind w:left="720"/>
      </w:pPr>
      <w:r w:rsidRPr="003643ED">
        <w:rPr>
          <w:b/>
        </w:rPr>
        <w:t>Beth DeLaHunt</w:t>
      </w:r>
      <w:r w:rsidRPr="003643ED">
        <w:t>, RN, BAN, CPEHR, CPHIT—Clinical Product Marketing Manager, MDI Achieve, Eden Prairie, MN</w:t>
      </w:r>
    </w:p>
    <w:p w:rsidR="00436032" w:rsidRPr="003643ED" w:rsidRDefault="00436032" w:rsidP="00436032">
      <w:pPr>
        <w:pStyle w:val="MemoBodyText"/>
        <w:ind w:left="720"/>
      </w:pPr>
      <w:r w:rsidRPr="003643ED">
        <w:rPr>
          <w:b/>
        </w:rPr>
        <w:t>Larry Garber</w:t>
      </w:r>
      <w:r w:rsidRPr="003643ED">
        <w:t>, MD—Reliant Medical Group (formerly known as Fallon Clinic), Worcester, MA</w:t>
      </w:r>
    </w:p>
    <w:p w:rsidR="00436032" w:rsidRPr="003643ED" w:rsidRDefault="00436032" w:rsidP="00436032">
      <w:pPr>
        <w:pStyle w:val="MemoBodyText"/>
        <w:ind w:left="720"/>
      </w:pPr>
      <w:r w:rsidRPr="003643ED">
        <w:rPr>
          <w:b/>
        </w:rPr>
        <w:t>Yvonne Grant</w:t>
      </w:r>
      <w:r w:rsidRPr="003643ED">
        <w:t>, PharmD, CGP—Pharmacist Care Manager, Kaiser Permanente, Panorama City, CA</w:t>
      </w:r>
    </w:p>
    <w:p w:rsidR="00436032" w:rsidRPr="003643ED" w:rsidRDefault="00436032" w:rsidP="00436032">
      <w:pPr>
        <w:pStyle w:val="MemoBodyText"/>
        <w:ind w:left="720"/>
      </w:pPr>
      <w:r w:rsidRPr="003643ED">
        <w:rPr>
          <w:b/>
        </w:rPr>
        <w:t>Robert Jenders</w:t>
      </w:r>
      <w:r w:rsidRPr="003643ED">
        <w:t>, MD, MS, FACP, FACMI—Staff Scientist, National Library of Medicine/National Institutes of Health and Georgetown University, Bethesda, MD</w:t>
      </w:r>
    </w:p>
    <w:p w:rsidR="00436032" w:rsidRPr="003643ED" w:rsidRDefault="00436032" w:rsidP="00436032">
      <w:pPr>
        <w:pStyle w:val="MemoBodyText"/>
        <w:ind w:left="720"/>
      </w:pPr>
      <w:r w:rsidRPr="003643ED">
        <w:rPr>
          <w:b/>
        </w:rPr>
        <w:t>Norma Lang</w:t>
      </w:r>
      <w:r w:rsidRPr="003643ED">
        <w:t>, RN, PhD, FAAN, FRCN—Howe Endowed Chair for Healthcare Transformation, University of Wisconsin-Milwaukee College of Nursing and Aurora Health Care, Cedarburg, WI</w:t>
      </w:r>
    </w:p>
    <w:p w:rsidR="00436032" w:rsidRPr="003643ED" w:rsidRDefault="00436032" w:rsidP="00436032">
      <w:pPr>
        <w:pStyle w:val="MemoBodyText"/>
        <w:ind w:left="720"/>
      </w:pPr>
      <w:r w:rsidRPr="003643ED">
        <w:rPr>
          <w:b/>
        </w:rPr>
        <w:t>Maria Moen</w:t>
      </w:r>
      <w:r w:rsidRPr="003643ED">
        <w:t>—Healthcare Applications Director, Brookdale Senior Living, Brentwood, TN</w:t>
      </w:r>
    </w:p>
    <w:p w:rsidR="00436032" w:rsidRPr="003643ED" w:rsidRDefault="00DB57CB" w:rsidP="00436032">
      <w:pPr>
        <w:pStyle w:val="MemoBodyText"/>
        <w:ind w:left="720"/>
      </w:pPr>
      <w:r w:rsidRPr="00DB57CB">
        <w:rPr>
          <w:b/>
        </w:rPr>
        <w:t>Terrence O’Malley</w:t>
      </w:r>
      <w:r w:rsidR="00436032" w:rsidRPr="003643ED">
        <w:t>, MD—Internist-Geriatrician, Partners Healthcare System, Inc., Boston, MA</w:t>
      </w:r>
    </w:p>
    <w:p w:rsidR="00436032" w:rsidRPr="003643ED" w:rsidRDefault="00436032" w:rsidP="00436032">
      <w:pPr>
        <w:pStyle w:val="MemoBodyText"/>
        <w:ind w:left="720"/>
      </w:pPr>
      <w:r w:rsidRPr="003643ED">
        <w:rPr>
          <w:b/>
        </w:rPr>
        <w:t>William M. Russell</w:t>
      </w:r>
      <w:r w:rsidRPr="003643ED">
        <w:t>, MD—Independent Consultant</w:t>
      </w:r>
    </w:p>
    <w:p w:rsidR="00436032" w:rsidRPr="003643ED" w:rsidRDefault="00436032" w:rsidP="00436032">
      <w:pPr>
        <w:pStyle w:val="MemoBodyText"/>
        <w:ind w:left="720"/>
      </w:pPr>
      <w:r w:rsidRPr="003643ED">
        <w:rPr>
          <w:b/>
        </w:rPr>
        <w:t>John Sheridan</w:t>
      </w:r>
      <w:r w:rsidRPr="003643ED">
        <w:t>—CEO, eHealth Data Solutions, Cleveland Heights, OH</w:t>
      </w:r>
    </w:p>
    <w:p w:rsidR="00436032" w:rsidRPr="003643ED" w:rsidRDefault="00436032" w:rsidP="00436032">
      <w:pPr>
        <w:pStyle w:val="BodyText"/>
      </w:pPr>
    </w:p>
    <w:p w:rsidR="00436032" w:rsidRPr="003643ED" w:rsidRDefault="007861E9" w:rsidP="00436032">
      <w:pPr>
        <w:pStyle w:val="BodyText"/>
        <w:rPr>
          <w:b/>
          <w:bCs/>
          <w:szCs w:val="22"/>
        </w:rPr>
      </w:pPr>
      <w:proofErr w:type="gramStart"/>
      <w:r w:rsidRPr="00DD1E9D">
        <w:t>eQuality</w:t>
      </w:r>
      <w:proofErr w:type="gramEnd"/>
      <w:r w:rsidRPr="00DD1E9D">
        <w:t xml:space="preserve"> </w:t>
      </w:r>
      <w:r>
        <w:t xml:space="preserve">CARE </w:t>
      </w:r>
      <w:r w:rsidRPr="00DD1E9D">
        <w:t>team</w:t>
      </w:r>
      <w:r w:rsidRPr="00252171">
        <w:t xml:space="preserve"> </w:t>
      </w:r>
      <w:r w:rsidR="00436032" w:rsidRPr="003643ED">
        <w:rPr>
          <w:szCs w:val="22"/>
        </w:rPr>
        <w:t>members and partners attending the meeting included:</w:t>
      </w:r>
    </w:p>
    <w:p w:rsidR="00436032" w:rsidRPr="003643ED" w:rsidRDefault="00436032" w:rsidP="00436032">
      <w:pPr>
        <w:pStyle w:val="MemoBodyText"/>
        <w:ind w:left="720"/>
      </w:pPr>
      <w:r w:rsidRPr="008C0F1B">
        <w:rPr>
          <w:b/>
        </w:rPr>
        <w:t>Bob Dolin</w:t>
      </w:r>
      <w:r w:rsidRPr="003643ED">
        <w:t>—Lantana Consulting Group</w:t>
      </w:r>
    </w:p>
    <w:p w:rsidR="00436032" w:rsidRPr="003643ED" w:rsidRDefault="00436032" w:rsidP="00436032">
      <w:pPr>
        <w:pStyle w:val="MemoBodyText"/>
        <w:ind w:left="720"/>
      </w:pPr>
      <w:r w:rsidRPr="008C0F1B">
        <w:rPr>
          <w:b/>
        </w:rPr>
        <w:t>Gaye Dolin</w:t>
      </w:r>
      <w:r w:rsidRPr="003643ED">
        <w:t>—Lantana Consulting Group, Standards Development Organization Liaison</w:t>
      </w:r>
    </w:p>
    <w:p w:rsidR="00436032" w:rsidRPr="003643ED" w:rsidRDefault="00436032" w:rsidP="00436032">
      <w:pPr>
        <w:pStyle w:val="MemoBodyText"/>
        <w:ind w:left="720"/>
      </w:pPr>
      <w:r w:rsidRPr="008C0F1B">
        <w:rPr>
          <w:b/>
        </w:rPr>
        <w:t>Rick Geimer</w:t>
      </w:r>
      <w:r w:rsidRPr="003643ED">
        <w:t>—Lantana Consulting Group</w:t>
      </w:r>
    </w:p>
    <w:p w:rsidR="00436032" w:rsidRPr="003643ED" w:rsidRDefault="00436032" w:rsidP="00436032">
      <w:pPr>
        <w:pStyle w:val="MemoBodyText"/>
        <w:ind w:left="720"/>
      </w:pPr>
      <w:r w:rsidRPr="008C0F1B">
        <w:rPr>
          <w:b/>
        </w:rPr>
        <w:t>Zabrina Gonzaga</w:t>
      </w:r>
      <w:r w:rsidRPr="003643ED">
        <w:t>—Lantana Consulting Group, CARE Clinical Document Architecture (CDA) Designer</w:t>
      </w:r>
    </w:p>
    <w:p w:rsidR="00436032" w:rsidRPr="003643ED" w:rsidRDefault="00436032" w:rsidP="00436032">
      <w:pPr>
        <w:pStyle w:val="MemoBodyText"/>
        <w:ind w:left="720"/>
      </w:pPr>
      <w:r w:rsidRPr="008C0F1B">
        <w:rPr>
          <w:b/>
        </w:rPr>
        <w:t>Jennie Harvell</w:t>
      </w:r>
      <w:r w:rsidRPr="003643ED">
        <w:t>—Federal Listening Partner, Assistant Secretary for Planning and Evaluation, HHS</w:t>
      </w:r>
    </w:p>
    <w:p w:rsidR="00436032" w:rsidRPr="00DD1E9D" w:rsidRDefault="00436032" w:rsidP="00436032">
      <w:pPr>
        <w:pStyle w:val="MemoBodyText"/>
        <w:ind w:left="720"/>
      </w:pPr>
      <w:r w:rsidRPr="008C0F1B">
        <w:rPr>
          <w:b/>
        </w:rPr>
        <w:t>Jin</w:t>
      </w:r>
      <w:r w:rsidRPr="00DD1E9D">
        <w:rPr>
          <w:b/>
        </w:rPr>
        <w:t>gdong Li</w:t>
      </w:r>
      <w:r w:rsidRPr="00DD1E9D">
        <w:t>—Lantana Consulting Group</w:t>
      </w:r>
    </w:p>
    <w:p w:rsidR="00436032" w:rsidRPr="00DD1E9D" w:rsidRDefault="00436032" w:rsidP="00436032">
      <w:pPr>
        <w:pStyle w:val="MemoBodyText"/>
        <w:ind w:left="720"/>
      </w:pPr>
      <w:r w:rsidRPr="00DD1E9D">
        <w:rPr>
          <w:b/>
        </w:rPr>
        <w:t>Cyndie Lundberg</w:t>
      </w:r>
      <w:r w:rsidRPr="00DD1E9D">
        <w:t>—Lantana Consulting Group</w:t>
      </w:r>
    </w:p>
    <w:p w:rsidR="00436032" w:rsidRDefault="00436032" w:rsidP="00436032">
      <w:pPr>
        <w:pStyle w:val="MemoBodyText"/>
        <w:ind w:left="720"/>
      </w:pPr>
      <w:r w:rsidRPr="00DD1E9D">
        <w:rPr>
          <w:b/>
        </w:rPr>
        <w:lastRenderedPageBreak/>
        <w:t xml:space="preserve">Brett </w:t>
      </w:r>
      <w:r w:rsidR="00C03FF1">
        <w:rPr>
          <w:b/>
        </w:rPr>
        <w:t>Marquard</w:t>
      </w:r>
      <w:r w:rsidRPr="00DD1E9D">
        <w:t>—Lantana Consulting Group, Task Lead</w:t>
      </w:r>
    </w:p>
    <w:p w:rsidR="00436032" w:rsidRPr="00DD1E9D" w:rsidRDefault="00436032" w:rsidP="00436032">
      <w:pPr>
        <w:pStyle w:val="MemoBodyText"/>
        <w:ind w:left="720"/>
      </w:pPr>
      <w:r w:rsidRPr="00DD1E9D">
        <w:rPr>
          <w:b/>
        </w:rPr>
        <w:t>Don Mon</w:t>
      </w:r>
      <w:r w:rsidRPr="00DD1E9D">
        <w:t>—Center for the Advancement of Health Information Technology, RTI International</w:t>
      </w:r>
    </w:p>
    <w:p w:rsidR="00436032" w:rsidRPr="00DD1E9D" w:rsidRDefault="00436032" w:rsidP="00436032">
      <w:pPr>
        <w:pStyle w:val="MemoBodyText"/>
        <w:ind w:left="720"/>
      </w:pPr>
      <w:r w:rsidRPr="00DD1E9D">
        <w:rPr>
          <w:b/>
        </w:rPr>
        <w:t>Madhu Shrestha</w:t>
      </w:r>
      <w:r w:rsidRPr="00DD1E9D">
        <w:t>—RTI International</w:t>
      </w:r>
    </w:p>
    <w:p w:rsidR="00436032" w:rsidRPr="00DD1E9D" w:rsidRDefault="00436032" w:rsidP="00436032">
      <w:pPr>
        <w:pStyle w:val="MemoBodyText"/>
        <w:ind w:left="720"/>
      </w:pPr>
      <w:r w:rsidRPr="00DD1E9D">
        <w:rPr>
          <w:b/>
        </w:rPr>
        <w:t>Jud</w:t>
      </w:r>
      <w:r w:rsidR="00B26641">
        <w:rPr>
          <w:b/>
        </w:rPr>
        <w:t>ith</w:t>
      </w:r>
      <w:r w:rsidRPr="00DD1E9D">
        <w:rPr>
          <w:b/>
        </w:rPr>
        <w:t xml:space="preserve"> Tobin</w:t>
      </w:r>
      <w:r w:rsidRPr="00DD1E9D">
        <w:t>—</w:t>
      </w:r>
      <w:r w:rsidR="000F3DD5">
        <w:t>Center for</w:t>
      </w:r>
      <w:r w:rsidRPr="00DD1E9D">
        <w:t xml:space="preserve"> Clinical Standards &amp; Quality, CMS</w:t>
      </w:r>
    </w:p>
    <w:p w:rsidR="00436032" w:rsidRPr="00DD1E9D" w:rsidRDefault="00436032" w:rsidP="00436032">
      <w:pPr>
        <w:pStyle w:val="Heading1"/>
      </w:pPr>
      <w:bookmarkStart w:id="23" w:name="_Toc332110612"/>
      <w:r w:rsidRPr="00DD1E9D">
        <w:t>Purpose and Objectives</w:t>
      </w:r>
      <w:bookmarkEnd w:id="23"/>
    </w:p>
    <w:p w:rsidR="00436032" w:rsidRPr="00252171" w:rsidRDefault="00436032" w:rsidP="00436032">
      <w:pPr>
        <w:pStyle w:val="BodyText"/>
      </w:pPr>
      <w:r w:rsidRPr="00D73BD8">
        <w:t xml:space="preserve">The CARE TEP </w:t>
      </w:r>
      <w:r>
        <w:t>gathered</w:t>
      </w:r>
      <w:r w:rsidRPr="00D73BD8">
        <w:t xml:space="preserve"> for its first meeting in January 2012. At that time, it reviewed</w:t>
      </w:r>
      <w:r w:rsidRPr="00F642D7">
        <w:t xml:space="preserve"> the proposed e-specifications for CARE and </w:t>
      </w:r>
      <w:r w:rsidRPr="00650D05">
        <w:t>provided</w:t>
      </w:r>
      <w:r w:rsidRPr="00252171">
        <w:t xml:space="preserve"> information to the </w:t>
      </w:r>
      <w:r w:rsidRPr="00DD1E9D">
        <w:t xml:space="preserve">eQuality </w:t>
      </w:r>
      <w:r>
        <w:t xml:space="preserve">CARE </w:t>
      </w:r>
      <w:r w:rsidRPr="00DD1E9D">
        <w:t>team</w:t>
      </w:r>
      <w:r w:rsidRPr="00252171">
        <w:t xml:space="preserve"> about how CARE data elements could fit into an electronic health record (EHR). </w:t>
      </w:r>
    </w:p>
    <w:p w:rsidR="00436032" w:rsidRPr="00D73BD8" w:rsidRDefault="00436032" w:rsidP="00436032">
      <w:pPr>
        <w:pStyle w:val="BodyText"/>
        <w:rPr>
          <w:rFonts w:cs="Garamond"/>
          <w:bCs/>
          <w:color w:val="000000"/>
          <w:szCs w:val="22"/>
        </w:rPr>
      </w:pPr>
      <w:r w:rsidRPr="00D73BD8">
        <w:rPr>
          <w:rFonts w:cs="Garamond"/>
          <w:color w:val="000000"/>
          <w:szCs w:val="22"/>
        </w:rPr>
        <w:t xml:space="preserve">The CARE TEP </w:t>
      </w:r>
      <w:r>
        <w:rPr>
          <w:rFonts w:cs="Garamond"/>
          <w:bCs/>
          <w:color w:val="000000"/>
          <w:szCs w:val="22"/>
        </w:rPr>
        <w:t>reconvened in May</w:t>
      </w:r>
      <w:r w:rsidRPr="00D73BD8">
        <w:rPr>
          <w:rFonts w:cs="Garamond"/>
          <w:bCs/>
          <w:color w:val="000000"/>
          <w:szCs w:val="22"/>
        </w:rPr>
        <w:t xml:space="preserve"> </w:t>
      </w:r>
      <w:r w:rsidRPr="00D73BD8">
        <w:rPr>
          <w:rFonts w:cs="Garamond"/>
          <w:color w:val="000000"/>
          <w:szCs w:val="22"/>
        </w:rPr>
        <w:t>to:</w:t>
      </w:r>
    </w:p>
    <w:p w:rsidR="00436032" w:rsidRPr="009F2E57" w:rsidRDefault="00436032" w:rsidP="00436032">
      <w:pPr>
        <w:pStyle w:val="ListBullet"/>
        <w:rPr>
          <w:bCs/>
        </w:rPr>
      </w:pPr>
      <w:r>
        <w:t>Review</w:t>
      </w:r>
      <w:r w:rsidRPr="00DD1E9D">
        <w:t xml:space="preserve"> CARE updates to the </w:t>
      </w:r>
      <w:r>
        <w:t xml:space="preserve">Implementation Guide </w:t>
      </w:r>
      <w:r w:rsidR="00930D22">
        <w:t xml:space="preserve">(IG) </w:t>
      </w:r>
      <w:r>
        <w:t xml:space="preserve">for </w:t>
      </w:r>
      <w:r w:rsidRPr="00DD1E9D">
        <w:t xml:space="preserve">CDA </w:t>
      </w:r>
      <w:r>
        <w:t xml:space="preserve">Release 2.0: </w:t>
      </w:r>
      <w:r w:rsidRPr="00DD1E9D">
        <w:t>Consolidat</w:t>
      </w:r>
      <w:r>
        <w:t>ed</w:t>
      </w:r>
      <w:r w:rsidRPr="00DD1E9D">
        <w:t xml:space="preserve"> </w:t>
      </w:r>
      <w:r>
        <w:t xml:space="preserve">CDA </w:t>
      </w:r>
      <w:r w:rsidRPr="00DD1E9D">
        <w:t>Templates</w:t>
      </w:r>
      <w:r>
        <w:t xml:space="preserve"> (US Realm) Draft</w:t>
      </w:r>
      <w:r w:rsidR="00265973">
        <w:t xml:space="preserve"> Standard for Trial Use (DSTU)</w:t>
      </w:r>
    </w:p>
    <w:p w:rsidR="00436032" w:rsidRPr="00DD1E9D" w:rsidRDefault="00436032" w:rsidP="00436032">
      <w:pPr>
        <w:pStyle w:val="ListBullet"/>
        <w:rPr>
          <w:b/>
          <w:bCs/>
        </w:rPr>
      </w:pPr>
      <w:r>
        <w:t>Provide</w:t>
      </w:r>
      <w:r w:rsidRPr="00DD1E9D">
        <w:t xml:space="preserve"> input on the logical transition steps to using CARE as a universal assessment tool</w:t>
      </w:r>
    </w:p>
    <w:p w:rsidR="00436032" w:rsidRPr="00DD1E9D" w:rsidRDefault="00436032" w:rsidP="00436032">
      <w:pPr>
        <w:pStyle w:val="ListBullet"/>
        <w:rPr>
          <w:b/>
          <w:bCs/>
        </w:rPr>
      </w:pPr>
      <w:r w:rsidRPr="00DD1E9D">
        <w:t>Develop recommendations for the role of post</w:t>
      </w:r>
      <w:r>
        <w:t>-</w:t>
      </w:r>
      <w:r w:rsidRPr="00DD1E9D">
        <w:t>acute care in Meaningful Use Stage 3</w:t>
      </w:r>
    </w:p>
    <w:p w:rsidR="00436032" w:rsidRPr="00DD1E9D" w:rsidRDefault="00436032" w:rsidP="00436032">
      <w:pPr>
        <w:pStyle w:val="Heading1"/>
      </w:pPr>
      <w:bookmarkStart w:id="24" w:name="_Toc332110613"/>
      <w:r>
        <w:t xml:space="preserve">CARE </w:t>
      </w:r>
      <w:r w:rsidR="00B85067">
        <w:t>Standards Development</w:t>
      </w:r>
      <w:bookmarkEnd w:id="24"/>
    </w:p>
    <w:p w:rsidR="00436032" w:rsidRPr="00DD1E9D" w:rsidRDefault="00436032" w:rsidP="00436032">
      <w:pPr>
        <w:pStyle w:val="BodyText"/>
        <w:rPr>
          <w:b/>
          <w:bCs/>
        </w:rPr>
      </w:pPr>
      <w:r w:rsidRPr="00DD1E9D">
        <w:t>The Lantana Consulting Group presented an update of CARE progress including</w:t>
      </w:r>
      <w:r>
        <w:t xml:space="preserve"> industry outreach efforts and the project’s Health Level Seven (HL7) ballot strategy.</w:t>
      </w:r>
    </w:p>
    <w:p w:rsidR="00436032" w:rsidRDefault="00436032" w:rsidP="00436032">
      <w:pPr>
        <w:pStyle w:val="Heading2"/>
        <w:ind w:left="0" w:firstLine="0"/>
      </w:pPr>
      <w:bookmarkStart w:id="25" w:name="_Toc332110614"/>
      <w:r w:rsidRPr="00DD1E9D">
        <w:t>Industry Outreach</w:t>
      </w:r>
      <w:bookmarkEnd w:id="25"/>
    </w:p>
    <w:p w:rsidR="00436032" w:rsidRDefault="00436032" w:rsidP="00436032">
      <w:pPr>
        <w:pStyle w:val="BodyText"/>
      </w:pPr>
      <w:r w:rsidRPr="00252171">
        <w:t xml:space="preserve">The </w:t>
      </w:r>
      <w:r w:rsidRPr="00DD1E9D">
        <w:t xml:space="preserve">eQuality </w:t>
      </w:r>
      <w:r>
        <w:t xml:space="preserve">CARE team </w:t>
      </w:r>
      <w:r w:rsidRPr="00252171">
        <w:t>is engag</w:t>
      </w:r>
      <w:r>
        <w:t>ed</w:t>
      </w:r>
      <w:r w:rsidRPr="00252171">
        <w:t xml:space="preserve"> in discussion</w:t>
      </w:r>
      <w:r>
        <w:t>s</w:t>
      </w:r>
      <w:r w:rsidRPr="00252171">
        <w:t xml:space="preserve"> with both HL7 and the Patient Assessment Summary Sub Work Group (</w:t>
      </w:r>
      <w:r w:rsidR="006D2339">
        <w:t xml:space="preserve">PAS </w:t>
      </w:r>
      <w:r w:rsidRPr="00252171">
        <w:t>SWG)</w:t>
      </w:r>
      <w:r>
        <w:t xml:space="preserve">. The </w:t>
      </w:r>
      <w:r w:rsidR="006D2339">
        <w:t xml:space="preserve">PAS </w:t>
      </w:r>
      <w:r>
        <w:t>SWG is part</w:t>
      </w:r>
      <w:r w:rsidRPr="00252171">
        <w:t xml:space="preserve"> of the </w:t>
      </w:r>
      <w:r w:rsidRPr="00B3308E">
        <w:t>Office of the National Coordinator</w:t>
      </w:r>
      <w:r w:rsidRPr="00252171">
        <w:t xml:space="preserve"> (ONC) Standards and Interoperability (S&amp;I)</w:t>
      </w:r>
      <w:r>
        <w:t xml:space="preserve"> Framework</w:t>
      </w:r>
      <w:r w:rsidRPr="00252171">
        <w:t>.</w:t>
      </w:r>
    </w:p>
    <w:p w:rsidR="00436032" w:rsidRDefault="00436032" w:rsidP="00436032">
      <w:pPr>
        <w:pStyle w:val="Heading3"/>
      </w:pPr>
      <w:r w:rsidRPr="00DD1E9D">
        <w:t>Health Level Seven (HL7)</w:t>
      </w:r>
    </w:p>
    <w:p w:rsidR="00436032" w:rsidRPr="00DD1E9D" w:rsidRDefault="00436032" w:rsidP="00436032">
      <w:pPr>
        <w:pStyle w:val="BodyText"/>
      </w:pPr>
      <w:r w:rsidRPr="00DD1E9D">
        <w:t xml:space="preserve">Within HL7, the Structured Documents Work Group (SDWG) </w:t>
      </w:r>
      <w:r w:rsidR="00C03FF1">
        <w:t>is responsible for the Clinical Document Architecture (CDA)</w:t>
      </w:r>
      <w:r w:rsidRPr="00DD1E9D">
        <w:t xml:space="preserve"> standard. Members of the </w:t>
      </w:r>
      <w:r>
        <w:t xml:space="preserve">eQuality </w:t>
      </w:r>
      <w:r w:rsidRPr="00DD1E9D">
        <w:t>CARE</w:t>
      </w:r>
      <w:r>
        <w:t xml:space="preserve"> team </w:t>
      </w:r>
      <w:r w:rsidR="00190D60">
        <w:t xml:space="preserve">submitted a ballot to </w:t>
      </w:r>
      <w:r w:rsidRPr="00DD1E9D">
        <w:t xml:space="preserve">SDWG </w:t>
      </w:r>
      <w:r w:rsidR="00190D60">
        <w:t>with</w:t>
      </w:r>
      <w:r w:rsidR="00190D60" w:rsidRPr="00DD1E9D">
        <w:t xml:space="preserve"> </w:t>
      </w:r>
      <w:r w:rsidRPr="00DD1E9D">
        <w:t>update</w:t>
      </w:r>
      <w:r w:rsidR="00190D60">
        <w:t xml:space="preserve">s to the </w:t>
      </w:r>
      <w:r w:rsidR="00930D22">
        <w:t>IG</w:t>
      </w:r>
      <w:r w:rsidR="00190D60">
        <w:t xml:space="preserve"> for </w:t>
      </w:r>
      <w:r w:rsidR="00190D60" w:rsidRPr="00DD1E9D">
        <w:t xml:space="preserve">CDA </w:t>
      </w:r>
      <w:r w:rsidR="00190D60">
        <w:t xml:space="preserve">Release 2.0: </w:t>
      </w:r>
      <w:r w:rsidR="00190D60" w:rsidRPr="00DD1E9D">
        <w:t>Consolidat</w:t>
      </w:r>
      <w:r w:rsidR="00190D60">
        <w:t>ed</w:t>
      </w:r>
      <w:r w:rsidR="00190D60" w:rsidRPr="00DD1E9D">
        <w:t xml:space="preserve"> </w:t>
      </w:r>
      <w:r w:rsidR="00190D60">
        <w:t xml:space="preserve">CDA </w:t>
      </w:r>
      <w:r w:rsidR="00190D60" w:rsidRPr="00DD1E9D">
        <w:t>Templates</w:t>
      </w:r>
      <w:r w:rsidR="00190D60">
        <w:t xml:space="preserve"> (US Realm) which contained new and updated templates that could </w:t>
      </w:r>
      <w:r w:rsidR="00481405">
        <w:t>be</w:t>
      </w:r>
      <w:r w:rsidR="00190D60">
        <w:t xml:space="preserve"> used in long</w:t>
      </w:r>
      <w:r w:rsidR="00930D22">
        <w:t>-</w:t>
      </w:r>
      <w:r w:rsidR="00190D60">
        <w:t>term care and post</w:t>
      </w:r>
      <w:r w:rsidR="00930D22">
        <w:t>-</w:t>
      </w:r>
      <w:r w:rsidR="00190D60">
        <w:t xml:space="preserve">acute care settings. </w:t>
      </w:r>
      <w:r w:rsidR="00265973">
        <w:t>T</w:t>
      </w:r>
      <w:r w:rsidR="006D2339">
        <w:t xml:space="preserve">he </w:t>
      </w:r>
      <w:r w:rsidR="007861E9" w:rsidRPr="00DD1E9D">
        <w:t xml:space="preserve">eQuality </w:t>
      </w:r>
      <w:r w:rsidR="007861E9">
        <w:t xml:space="preserve">CARE </w:t>
      </w:r>
      <w:r w:rsidR="007861E9" w:rsidRPr="00DD1E9D">
        <w:t>team</w:t>
      </w:r>
      <w:r w:rsidR="007861E9" w:rsidRPr="00252171">
        <w:t xml:space="preserve"> </w:t>
      </w:r>
      <w:r w:rsidR="006D2339">
        <w:t>will submit a ballot to</w:t>
      </w:r>
      <w:r w:rsidRPr="00DD1E9D">
        <w:t xml:space="preserve"> SDWG </w:t>
      </w:r>
      <w:r w:rsidR="006D2339">
        <w:t xml:space="preserve">for a Questionnaire Assessment Implementation Guide to </w:t>
      </w:r>
      <w:r w:rsidRPr="00DD1E9D">
        <w:t xml:space="preserve">support </w:t>
      </w:r>
      <w:r w:rsidR="00C03FF1">
        <w:t xml:space="preserve">full communication </w:t>
      </w:r>
      <w:r w:rsidRPr="00DD1E9D">
        <w:t>of CARE data elements in CDA</w:t>
      </w:r>
      <w:r w:rsidR="00265973">
        <w:t xml:space="preserve"> in the fall 2012 ballot cycle</w:t>
      </w:r>
      <w:r w:rsidRPr="00DD1E9D">
        <w:t>.</w:t>
      </w:r>
    </w:p>
    <w:p w:rsidR="00436032" w:rsidRDefault="007B5E87" w:rsidP="00436032">
      <w:pPr>
        <w:pStyle w:val="Heading3"/>
      </w:pPr>
      <w:r>
        <w:lastRenderedPageBreak/>
        <w:t>Office of the National Coordinator (ONC), Standards &amp; Interoperability (S&amp;I)</w:t>
      </w:r>
      <w:r w:rsidR="00607C26">
        <w:t xml:space="preserve"> </w:t>
      </w:r>
      <w:r>
        <w:t xml:space="preserve">Framework, </w:t>
      </w:r>
      <w:r w:rsidR="00436032" w:rsidRPr="00DD1E9D">
        <w:t xml:space="preserve">Longitudinal Coordination of Care (LCC) </w:t>
      </w:r>
      <w:r w:rsidR="00B613B4">
        <w:t>PAS</w:t>
      </w:r>
      <w:r w:rsidR="0013592A">
        <w:t xml:space="preserve"> </w:t>
      </w:r>
      <w:r w:rsidR="00436032" w:rsidRPr="00DD1E9D">
        <w:t>SWG</w:t>
      </w:r>
    </w:p>
    <w:p w:rsidR="00436032" w:rsidRPr="00DD1E9D" w:rsidRDefault="00436032" w:rsidP="00436032">
      <w:pPr>
        <w:pStyle w:val="BodyText"/>
      </w:pPr>
      <w:r w:rsidRPr="00DD1E9D">
        <w:t xml:space="preserve">Formed in fall 2011, the </w:t>
      </w:r>
      <w:r w:rsidR="0010778D">
        <w:t>PAS</w:t>
      </w:r>
      <w:r w:rsidRPr="00DD1E9D">
        <w:t xml:space="preserve"> SWG’s goals are to a) identify the standards that can support interoperable exchange between providers and between providers and patients, and b) identify the subset of </w:t>
      </w:r>
      <w:r>
        <w:t>Minimum Data Set (</w:t>
      </w:r>
      <w:r w:rsidRPr="00DD1E9D">
        <w:t>MDS</w:t>
      </w:r>
      <w:r>
        <w:t>)</w:t>
      </w:r>
      <w:r w:rsidRPr="00DD1E9D">
        <w:t xml:space="preserve"> and </w:t>
      </w:r>
      <w:r>
        <w:t>Outcome &amp; Assessment Information Set</w:t>
      </w:r>
      <w:r w:rsidRPr="00DD1E9D">
        <w:t xml:space="preserve"> </w:t>
      </w:r>
      <w:r>
        <w:t>(</w:t>
      </w:r>
      <w:r w:rsidRPr="00DD1E9D">
        <w:t>OASIS</w:t>
      </w:r>
      <w:r>
        <w:t>)</w:t>
      </w:r>
      <w:r w:rsidRPr="00DD1E9D">
        <w:t xml:space="preserve"> data elements that can be successfully included in patient assessment summary documents. The </w:t>
      </w:r>
      <w:r w:rsidR="00B613B4">
        <w:t xml:space="preserve">PAS </w:t>
      </w:r>
      <w:r w:rsidRPr="00DD1E9D">
        <w:t xml:space="preserve">SWG </w:t>
      </w:r>
      <w:r w:rsidR="006B4EA9">
        <w:t xml:space="preserve">is evaluating the </w:t>
      </w:r>
      <w:r w:rsidRPr="00DD1E9D">
        <w:t xml:space="preserve">MDS and OASIS </w:t>
      </w:r>
      <w:r>
        <w:t xml:space="preserve">data elements </w:t>
      </w:r>
      <w:r w:rsidRPr="00DD1E9D">
        <w:t xml:space="preserve">to </w:t>
      </w:r>
      <w:r w:rsidR="006B4EA9">
        <w:t xml:space="preserve">prioritize </w:t>
      </w:r>
      <w:r w:rsidRPr="00DD1E9D">
        <w:t xml:space="preserve">clinically relevant </w:t>
      </w:r>
      <w:r w:rsidR="006B4EA9">
        <w:t xml:space="preserve">items </w:t>
      </w:r>
      <w:r w:rsidR="00E00976" w:rsidRPr="00DD1E9D">
        <w:t>for</w:t>
      </w:r>
      <w:r w:rsidR="00E00976">
        <w:t xml:space="preserve"> a</w:t>
      </w:r>
      <w:r w:rsidR="006B4EA9">
        <w:t xml:space="preserve"> patient assessment summary</w:t>
      </w:r>
      <w:r w:rsidRPr="00DD1E9D">
        <w:t>.</w:t>
      </w:r>
    </w:p>
    <w:p w:rsidR="00436032" w:rsidRPr="00DD1E9D" w:rsidRDefault="00436032" w:rsidP="00436032">
      <w:pPr>
        <w:pStyle w:val="BodyText"/>
      </w:pPr>
      <w:r w:rsidRPr="00DD1E9D">
        <w:t xml:space="preserve">The eQuality </w:t>
      </w:r>
      <w:r>
        <w:t xml:space="preserve">CARE </w:t>
      </w:r>
      <w:r w:rsidRPr="00DD1E9D">
        <w:t xml:space="preserve">team collaborated with the S&amp;I </w:t>
      </w:r>
      <w:r w:rsidR="0010778D">
        <w:t>PAS</w:t>
      </w:r>
      <w:r w:rsidRPr="00DD1E9D">
        <w:t xml:space="preserve"> SWG </w:t>
      </w:r>
      <w:r w:rsidR="00B613B4">
        <w:t>dur</w:t>
      </w:r>
      <w:r w:rsidR="00E00976">
        <w:t>i</w:t>
      </w:r>
      <w:r w:rsidR="00B613B4">
        <w:t xml:space="preserve">ng the design and development </w:t>
      </w:r>
      <w:r w:rsidR="00A76226">
        <w:t>of the</w:t>
      </w:r>
      <w:r w:rsidR="00B613B4">
        <w:t xml:space="preserve"> functional, cognitive and pressure ulcer templates </w:t>
      </w:r>
      <w:r w:rsidR="00A76226">
        <w:t>included in the</w:t>
      </w:r>
      <w:r w:rsidR="00B613B4">
        <w:t xml:space="preserve"> spring ballot. </w:t>
      </w:r>
      <w:r>
        <w:t xml:space="preserve">The </w:t>
      </w:r>
      <w:r w:rsidR="00B613B4">
        <w:t>eQuality</w:t>
      </w:r>
      <w:r w:rsidR="007861E9">
        <w:t xml:space="preserve"> CARE</w:t>
      </w:r>
      <w:r w:rsidR="00B613B4">
        <w:t xml:space="preserve"> </w:t>
      </w:r>
      <w:r>
        <w:t>team</w:t>
      </w:r>
      <w:r w:rsidRPr="00DD1E9D">
        <w:t xml:space="preserve"> will continue </w:t>
      </w:r>
      <w:r>
        <w:t xml:space="preserve">to </w:t>
      </w:r>
      <w:r w:rsidR="00B613B4">
        <w:t>keep</w:t>
      </w:r>
      <w:r w:rsidRPr="00DD1E9D">
        <w:t xml:space="preserve"> the </w:t>
      </w:r>
      <w:r w:rsidR="00B613B4">
        <w:t xml:space="preserve">PAS </w:t>
      </w:r>
      <w:r w:rsidRPr="00DD1E9D">
        <w:t xml:space="preserve">SWG </w:t>
      </w:r>
      <w:r w:rsidR="00B613B4">
        <w:t xml:space="preserve">informed as </w:t>
      </w:r>
      <w:r w:rsidR="0010778D">
        <w:t xml:space="preserve">the </w:t>
      </w:r>
      <w:r w:rsidR="00B613B4">
        <w:t xml:space="preserve">CDA Questionnaire Assessment </w:t>
      </w:r>
      <w:r w:rsidR="0010778D">
        <w:t xml:space="preserve">is designed to </w:t>
      </w:r>
      <w:r w:rsidR="00B613B4">
        <w:t>communicate the full CARE instrument in the fall 2012 ballot.</w:t>
      </w:r>
    </w:p>
    <w:p w:rsidR="00436032" w:rsidRDefault="00436032" w:rsidP="00436032">
      <w:pPr>
        <w:pStyle w:val="Heading2"/>
      </w:pPr>
      <w:bookmarkStart w:id="26" w:name="_Toc332110615"/>
      <w:r w:rsidRPr="00DD1E9D">
        <w:t>HL7 Ballot Strategy</w:t>
      </w:r>
      <w:bookmarkEnd w:id="26"/>
    </w:p>
    <w:p w:rsidR="00436032" w:rsidRPr="009A5421" w:rsidRDefault="00436032" w:rsidP="00436032">
      <w:pPr>
        <w:pStyle w:val="BodyText"/>
      </w:pPr>
      <w:r>
        <w:t xml:space="preserve">The </w:t>
      </w:r>
      <w:r w:rsidR="0010778D">
        <w:t xml:space="preserve">eQuality </w:t>
      </w:r>
      <w:r w:rsidR="007861E9">
        <w:t xml:space="preserve">CARE </w:t>
      </w:r>
      <w:r w:rsidR="0010778D">
        <w:t>team</w:t>
      </w:r>
      <w:r>
        <w:t xml:space="preserve"> gave the TEP information on</w:t>
      </w:r>
      <w:r w:rsidRPr="00DD1E9D">
        <w:t xml:space="preserve"> engagement in HL7 </w:t>
      </w:r>
      <w:r>
        <w:t>b</w:t>
      </w:r>
      <w:r w:rsidRPr="00DD1E9D">
        <w:t>alloting for member</w:t>
      </w:r>
      <w:r>
        <w:t>s</w:t>
      </w:r>
      <w:r w:rsidRPr="00DD1E9D">
        <w:t xml:space="preserve"> and non-member</w:t>
      </w:r>
      <w:r>
        <w:t>s. A general overview</w:t>
      </w:r>
      <w:r w:rsidRPr="00DD1E9D">
        <w:t xml:space="preserve"> </w:t>
      </w:r>
      <w:r>
        <w:t xml:space="preserve">of </w:t>
      </w:r>
      <w:r w:rsidRPr="00DD1E9D">
        <w:t>the HL7 balloting process</w:t>
      </w:r>
      <w:r w:rsidRPr="00DD1E9D" w:rsidDel="009F2E57">
        <w:t xml:space="preserve"> </w:t>
      </w:r>
      <w:r>
        <w:t>was also provided</w:t>
      </w:r>
      <w:r w:rsidRPr="00DD1E9D">
        <w:t xml:space="preserve">. For more information, refer to </w:t>
      </w:r>
      <w:hyperlink r:id="rId13" w:history="1">
        <w:r w:rsidRPr="009A5421">
          <w:rPr>
            <w:rStyle w:val="HyperlinkText"/>
          </w:rPr>
          <w:t>http://www.hl7.org/ctl.cfm?action=ballots.home</w:t>
        </w:r>
      </w:hyperlink>
      <w:r>
        <w:t>.</w:t>
      </w:r>
    </w:p>
    <w:p w:rsidR="00436032" w:rsidRDefault="00436032" w:rsidP="00436032">
      <w:pPr>
        <w:pStyle w:val="Heading3"/>
      </w:pPr>
      <w:r w:rsidRPr="00252171">
        <w:t xml:space="preserve">Spring 2012 </w:t>
      </w:r>
      <w:r>
        <w:t>Ballot</w:t>
      </w:r>
    </w:p>
    <w:p w:rsidR="00FE65D8" w:rsidRDefault="0010778D" w:rsidP="00436032">
      <w:pPr>
        <w:pStyle w:val="BodyText"/>
      </w:pPr>
      <w:r>
        <w:t xml:space="preserve">The </w:t>
      </w:r>
      <w:r w:rsidR="00436032" w:rsidRPr="00DD1E9D">
        <w:t>December 2011</w:t>
      </w:r>
      <w:r>
        <w:t xml:space="preserve"> version of for </w:t>
      </w:r>
      <w:r w:rsidRPr="00DD1E9D">
        <w:t xml:space="preserve">CDA </w:t>
      </w:r>
      <w:r>
        <w:t xml:space="preserve">Release 2.0: </w:t>
      </w:r>
      <w:r w:rsidRPr="00DD1E9D">
        <w:t>Consolidat</w:t>
      </w:r>
      <w:r>
        <w:t>ed</w:t>
      </w:r>
      <w:r w:rsidRPr="00DD1E9D">
        <w:t xml:space="preserve"> </w:t>
      </w:r>
      <w:r>
        <w:t xml:space="preserve">CDA </w:t>
      </w:r>
      <w:r w:rsidRPr="00DD1E9D">
        <w:t>Templates</w:t>
      </w:r>
      <w:r>
        <w:t xml:space="preserve"> (US Realm) Draft </w:t>
      </w:r>
      <w:r w:rsidR="007F7506">
        <w:t xml:space="preserve">included insufficient guidance </w:t>
      </w:r>
      <w:r w:rsidR="00930D22">
        <w:t>to express data concepts that exist</w:t>
      </w:r>
      <w:r w:rsidR="00F26503">
        <w:t>ed</w:t>
      </w:r>
      <w:r w:rsidR="00930D22">
        <w:t xml:space="preserve"> in the </w:t>
      </w:r>
      <w:r w:rsidR="00930D22" w:rsidRPr="00DD1E9D">
        <w:t>CARE data model (e.g., Functional Status).</w:t>
      </w:r>
      <w:r w:rsidR="00930D22">
        <w:t xml:space="preserve"> </w:t>
      </w:r>
      <w:r w:rsidR="0004418A">
        <w:t>The January</w:t>
      </w:r>
      <w:r w:rsidR="0004710F">
        <w:t xml:space="preserve"> </w:t>
      </w:r>
      <w:r w:rsidR="00F26503">
        <w:t xml:space="preserve">TEP </w:t>
      </w:r>
      <w:r w:rsidR="0004418A">
        <w:t>discussed</w:t>
      </w:r>
      <w:r w:rsidR="0004710F">
        <w:t xml:space="preserve"> </w:t>
      </w:r>
      <w:r w:rsidR="00481405">
        <w:t xml:space="preserve">this concern and </w:t>
      </w:r>
      <w:r w:rsidR="0004418A">
        <w:t>recommended</w:t>
      </w:r>
      <w:r w:rsidR="0004710F">
        <w:t xml:space="preserve"> </w:t>
      </w:r>
      <w:r w:rsidR="0004418A">
        <w:t>additions to</w:t>
      </w:r>
      <w:r w:rsidR="0004710F">
        <w:t xml:space="preserve"> the</w:t>
      </w:r>
      <w:r w:rsidR="0004418A">
        <w:t xml:space="preserve"> </w:t>
      </w:r>
      <w:r w:rsidR="00436032" w:rsidRPr="00DD1E9D">
        <w:t xml:space="preserve">guide. </w:t>
      </w:r>
      <w:r w:rsidR="00F26503">
        <w:t xml:space="preserve">In response, the eQuality </w:t>
      </w:r>
      <w:r w:rsidR="007861E9">
        <w:t xml:space="preserve">CARE </w:t>
      </w:r>
      <w:r w:rsidR="00F26503">
        <w:t xml:space="preserve">team further defined the functional status section templates by </w:t>
      </w:r>
      <w:r w:rsidR="00481405">
        <w:t xml:space="preserve">using </w:t>
      </w:r>
      <w:r w:rsidR="00F26503">
        <w:t>instrument neutral templates</w:t>
      </w:r>
      <w:r w:rsidR="00481405">
        <w:t>. These instrument neutral templates</w:t>
      </w:r>
      <w:r w:rsidR="00F26503">
        <w:t xml:space="preserve"> </w:t>
      </w:r>
      <w:r w:rsidR="00481405">
        <w:t xml:space="preserve">may be used to </w:t>
      </w:r>
      <w:r w:rsidR="002A41BF">
        <w:t xml:space="preserve">express </w:t>
      </w:r>
      <w:r w:rsidR="00046716">
        <w:t xml:space="preserve">concepts </w:t>
      </w:r>
      <w:r w:rsidR="00F26503">
        <w:t xml:space="preserve">commonly </w:t>
      </w:r>
      <w:r w:rsidR="002A41BF">
        <w:t>found in a</w:t>
      </w:r>
      <w:r w:rsidR="00046716">
        <w:t xml:space="preserve"> PAC LTC setting </w:t>
      </w:r>
      <w:r w:rsidR="002A41BF">
        <w:t xml:space="preserve">using </w:t>
      </w:r>
      <w:r w:rsidR="00436032" w:rsidRPr="00DD1E9D">
        <w:t>vocabulary recommendations from the Health IT Standards Committee (HITSC)</w:t>
      </w:r>
      <w:r w:rsidR="00FE65D8">
        <w:t>.</w:t>
      </w:r>
    </w:p>
    <w:p w:rsidR="00B123E2" w:rsidRDefault="00F26503" w:rsidP="00B123E2">
      <w:pPr>
        <w:pStyle w:val="BodyText"/>
      </w:pPr>
      <w:r>
        <w:t xml:space="preserve">Specifically, the </w:t>
      </w:r>
      <w:r w:rsidR="004B1BAB">
        <w:t>f</w:t>
      </w:r>
      <w:r w:rsidR="008F7346">
        <w:t>u</w:t>
      </w:r>
      <w:r w:rsidR="00B123E2">
        <w:t xml:space="preserve">nctional </w:t>
      </w:r>
      <w:r w:rsidR="00312A52">
        <w:t>s</w:t>
      </w:r>
      <w:r w:rsidR="00B123E2">
        <w:t xml:space="preserve">tatus section was expanded to include templates </w:t>
      </w:r>
      <w:r w:rsidR="007F7506">
        <w:t>to</w:t>
      </w:r>
      <w:r w:rsidR="00B123E2">
        <w:t xml:space="preserve"> </w:t>
      </w:r>
      <w:r>
        <w:t>represent</w:t>
      </w:r>
      <w:r w:rsidR="00B123E2">
        <w:t xml:space="preserve"> a patient’s functional and cognitive status as a problem and</w:t>
      </w:r>
      <w:r>
        <w:t xml:space="preserve">/or </w:t>
      </w:r>
      <w:r w:rsidR="00B123E2">
        <w:t>result observation. New templates were created to</w:t>
      </w:r>
      <w:r>
        <w:t xml:space="preserve"> represent</w:t>
      </w:r>
      <w:r w:rsidR="007F7506">
        <w:t xml:space="preserve"> </w:t>
      </w:r>
      <w:r w:rsidR="00B123E2">
        <w:t>caregiver characteristics, pressure ulcer observations, and documentation of assessment scales</w:t>
      </w:r>
      <w:r>
        <w:t>.</w:t>
      </w:r>
      <w:r w:rsidR="00B123E2" w:rsidRPr="0031543E">
        <w:t xml:space="preserve"> </w:t>
      </w:r>
      <w:r w:rsidR="00B123E2">
        <w:t xml:space="preserve">These additions to the </w:t>
      </w:r>
      <w:r w:rsidR="002308F4">
        <w:t>s</w:t>
      </w:r>
      <w:r w:rsidR="00B123E2">
        <w:t xml:space="preserve">pring 2012 ballot </w:t>
      </w:r>
      <w:r w:rsidR="009A44BF">
        <w:t>support</w:t>
      </w:r>
      <w:r>
        <w:t xml:space="preserve"> representation </w:t>
      </w:r>
      <w:r w:rsidR="0004710F">
        <w:t xml:space="preserve">of </w:t>
      </w:r>
      <w:r>
        <w:t>concepts found in the CARE instrument.</w:t>
      </w:r>
      <w:r w:rsidR="00F922B7">
        <w:t xml:space="preserve"> </w:t>
      </w:r>
      <w:r w:rsidR="00B123E2">
        <w:t xml:space="preserve"> </w:t>
      </w:r>
    </w:p>
    <w:p w:rsidR="00B123E2" w:rsidRDefault="00B123E2" w:rsidP="00B123E2">
      <w:pPr>
        <w:pStyle w:val="BodyText"/>
      </w:pPr>
      <w:r w:rsidRPr="00252171">
        <w:t xml:space="preserve">The deadline for registration to vote on the spring 2012 version of the </w:t>
      </w:r>
      <w:r>
        <w:t xml:space="preserve">Implementation Guide (IG) for </w:t>
      </w:r>
      <w:r w:rsidRPr="00DD1E9D">
        <w:t xml:space="preserve">CDA </w:t>
      </w:r>
      <w:r>
        <w:t xml:space="preserve">Release 2.0: </w:t>
      </w:r>
      <w:r w:rsidRPr="00DD1E9D">
        <w:t>Consolidat</w:t>
      </w:r>
      <w:r>
        <w:t>ed</w:t>
      </w:r>
      <w:r w:rsidRPr="00DD1E9D">
        <w:t xml:space="preserve"> </w:t>
      </w:r>
      <w:r>
        <w:t xml:space="preserve">CDA </w:t>
      </w:r>
      <w:r w:rsidRPr="00DD1E9D">
        <w:t>Templates</w:t>
      </w:r>
      <w:r>
        <w:t xml:space="preserve"> (US Realm) </w:t>
      </w:r>
      <w:r w:rsidRPr="00252171">
        <w:t>DSTU was May 28, 2012. The spring 2012 Consolidated CDA Templates</w:t>
      </w:r>
      <w:r w:rsidRPr="00252171" w:rsidDel="005A1FF2">
        <w:t xml:space="preserve"> </w:t>
      </w:r>
      <w:r w:rsidRPr="00252171">
        <w:t>DSTU was open for public comment until June 4, 2012.</w:t>
      </w:r>
    </w:p>
    <w:p w:rsidR="00B123E2" w:rsidRDefault="00B123E2" w:rsidP="00B123E2">
      <w:pPr>
        <w:pStyle w:val="Heading3"/>
      </w:pPr>
      <w:r w:rsidRPr="00252171">
        <w:t xml:space="preserve">Fall 2012 </w:t>
      </w:r>
      <w:r>
        <w:t>Ballot</w:t>
      </w:r>
    </w:p>
    <w:p w:rsidR="00B123E2" w:rsidRPr="00DD1E9D" w:rsidRDefault="00B123E2" w:rsidP="00B123E2">
      <w:pPr>
        <w:pStyle w:val="BodyText"/>
      </w:pPr>
      <w:r>
        <w:t>The SDWG will u</w:t>
      </w:r>
      <w:r w:rsidRPr="00DD1E9D">
        <w:t>pdate</w:t>
      </w:r>
      <w:r w:rsidRPr="00DD1E9D" w:rsidDel="00071049">
        <w:t xml:space="preserve"> </w:t>
      </w:r>
      <w:r w:rsidRPr="00DD1E9D">
        <w:t xml:space="preserve">the HL7 </w:t>
      </w:r>
      <w:r>
        <w:t>IG</w:t>
      </w:r>
      <w:r w:rsidRPr="00DD1E9D">
        <w:t xml:space="preserve"> for CDA Release 2: CDA Framework for Questionnaire Assessments</w:t>
      </w:r>
      <w:r>
        <w:t xml:space="preserve"> </w:t>
      </w:r>
      <w:r w:rsidR="00F922B7">
        <w:t>to support communication of</w:t>
      </w:r>
      <w:r w:rsidRPr="00DD1E9D">
        <w:t xml:space="preserve"> the full set of CARE data elements. To support the updates needed to this IG, the eQuality </w:t>
      </w:r>
      <w:r w:rsidR="007861E9">
        <w:t xml:space="preserve">CARE </w:t>
      </w:r>
      <w:r w:rsidRPr="00DD1E9D">
        <w:t>team</w:t>
      </w:r>
      <w:r>
        <w:t xml:space="preserve"> </w:t>
      </w:r>
      <w:r w:rsidRPr="00DD1E9D">
        <w:t xml:space="preserve">will continue </w:t>
      </w:r>
      <w:r>
        <w:t xml:space="preserve">to </w:t>
      </w:r>
      <w:r w:rsidR="007F7506">
        <w:t>engage</w:t>
      </w:r>
      <w:r>
        <w:t xml:space="preserve"> the</w:t>
      </w:r>
      <w:r w:rsidRPr="00DD1E9D">
        <w:t xml:space="preserve"> S&amp;I </w:t>
      </w:r>
      <w:r>
        <w:t>PAS</w:t>
      </w:r>
      <w:r w:rsidRPr="00DD1E9D">
        <w:t xml:space="preserve"> SWG</w:t>
      </w:r>
      <w:r>
        <w:t xml:space="preserve"> as </w:t>
      </w:r>
      <w:r w:rsidR="00481405">
        <w:t>it</w:t>
      </w:r>
      <w:r>
        <w:t xml:space="preserve"> develop</w:t>
      </w:r>
      <w:r w:rsidR="00481405">
        <w:t>s</w:t>
      </w:r>
      <w:r>
        <w:t xml:space="preserve"> the Patient Assessment Summary.</w:t>
      </w:r>
      <w:r w:rsidRPr="00DD1E9D">
        <w:t xml:space="preserve"> The updated version of the IG for CDA Release 2: CDA Framework for Questionnaire Assessments will be available for public comment from Aug</w:t>
      </w:r>
      <w:r>
        <w:t>ust</w:t>
      </w:r>
      <w:r w:rsidRPr="00DD1E9D">
        <w:t xml:space="preserve"> 3 </w:t>
      </w:r>
      <w:r w:rsidR="00A76226">
        <w:t>to</w:t>
      </w:r>
      <w:r w:rsidR="00A76226" w:rsidRPr="00DD1E9D">
        <w:t xml:space="preserve"> </w:t>
      </w:r>
      <w:r w:rsidRPr="00DD1E9D">
        <w:t>Sept</w:t>
      </w:r>
      <w:r>
        <w:t>ember</w:t>
      </w:r>
      <w:r w:rsidRPr="00DD1E9D">
        <w:t xml:space="preserve"> 7, 2012.</w:t>
      </w:r>
    </w:p>
    <w:p w:rsidR="00436032" w:rsidRDefault="00436032" w:rsidP="00436032">
      <w:pPr>
        <w:pStyle w:val="Heading2"/>
      </w:pPr>
      <w:bookmarkStart w:id="27" w:name="_Toc332110616"/>
      <w:r w:rsidRPr="00B3308E">
        <w:lastRenderedPageBreak/>
        <w:t xml:space="preserve">CARE </w:t>
      </w:r>
      <w:r>
        <w:t>W</w:t>
      </w:r>
      <w:r w:rsidRPr="00B3308E">
        <w:t>or</w:t>
      </w:r>
      <w:r>
        <w:t>kf</w:t>
      </w:r>
      <w:r w:rsidRPr="00B3308E">
        <w:t xml:space="preserve">low </w:t>
      </w:r>
      <w:r>
        <w:t>R</w:t>
      </w:r>
      <w:r w:rsidRPr="00B3308E">
        <w:t>eport</w:t>
      </w:r>
      <w:bookmarkEnd w:id="27"/>
    </w:p>
    <w:p w:rsidR="00436032" w:rsidRDefault="00436032" w:rsidP="00436032">
      <w:pPr>
        <w:pStyle w:val="BodyText"/>
      </w:pPr>
      <w:r>
        <w:t xml:space="preserve">The </w:t>
      </w:r>
      <w:r w:rsidR="007861E9" w:rsidRPr="00DD1E9D">
        <w:t xml:space="preserve">eQuality </w:t>
      </w:r>
      <w:r w:rsidR="007861E9">
        <w:t xml:space="preserve">CARE </w:t>
      </w:r>
      <w:r w:rsidR="007861E9" w:rsidRPr="00DD1E9D">
        <w:t>team</w:t>
      </w:r>
      <w:r>
        <w:t xml:space="preserve"> gave the TEP a</w:t>
      </w:r>
      <w:r w:rsidR="009B5B7E">
        <w:t>n overview</w:t>
      </w:r>
      <w:r>
        <w:t xml:space="preserve"> </w:t>
      </w:r>
      <w:r w:rsidR="009B5B7E">
        <w:t>of the CARE workflow report which will document the end to end workflow of how assessment instruments information is currently captured in an electronic health record (E</w:t>
      </w:r>
      <w:r w:rsidR="00C03FF1">
        <w:t>H</w:t>
      </w:r>
      <w:r w:rsidR="009B5B7E">
        <w:t>R) in the different PAC LTC settings</w:t>
      </w:r>
      <w:r>
        <w:t xml:space="preserve">. </w:t>
      </w:r>
      <w:r w:rsidR="009B5B7E">
        <w:t xml:space="preserve">The report will identify any workflow gaps and inconsistencies in the documentation and capture process that may impact the reporting of CARE data. </w:t>
      </w:r>
      <w:r>
        <w:t xml:space="preserve">The </w:t>
      </w:r>
      <w:r w:rsidR="007861E9" w:rsidRPr="00DD1E9D">
        <w:t xml:space="preserve">eQuality </w:t>
      </w:r>
      <w:r w:rsidR="007861E9">
        <w:t xml:space="preserve">CARE </w:t>
      </w:r>
      <w:r w:rsidR="007861E9" w:rsidRPr="00DD1E9D">
        <w:t>team</w:t>
      </w:r>
      <w:r w:rsidR="007861E9" w:rsidRPr="00252171">
        <w:t xml:space="preserve"> </w:t>
      </w:r>
      <w:r>
        <w:t>will</w:t>
      </w:r>
      <w:r w:rsidRPr="00DD1E9D">
        <w:t xml:space="preserve"> </w:t>
      </w:r>
      <w:r w:rsidR="00C03FF1">
        <w:t>contact interested TEP members to discuss</w:t>
      </w:r>
      <w:r w:rsidRPr="00DD1E9D">
        <w:t xml:space="preserve"> integration of these instruments in </w:t>
      </w:r>
      <w:r>
        <w:t>facilities</w:t>
      </w:r>
      <w:r w:rsidRPr="00DD1E9D">
        <w:t xml:space="preserve"> with EHRs</w:t>
      </w:r>
      <w:r>
        <w:t>.</w:t>
      </w:r>
    </w:p>
    <w:p w:rsidR="00436032" w:rsidRDefault="00436032" w:rsidP="00436032">
      <w:pPr>
        <w:pStyle w:val="Heading2"/>
      </w:pPr>
      <w:bookmarkStart w:id="28" w:name="_Toc332110617"/>
      <w:r w:rsidRPr="00DD1E9D">
        <w:t>Mapping to NQF Quality Data Model (QDM)</w:t>
      </w:r>
      <w:bookmarkEnd w:id="28"/>
    </w:p>
    <w:p w:rsidR="00436032" w:rsidRDefault="00436032" w:rsidP="00436032">
      <w:pPr>
        <w:pStyle w:val="BodyText"/>
      </w:pPr>
      <w:r w:rsidRPr="00DD1E9D">
        <w:t>The National Quality Forum (NQF) Quality Data Model (QDM</w:t>
      </w:r>
      <w:r>
        <w:t>)</w:t>
      </w:r>
      <w:r w:rsidRPr="00DD1E9D">
        <w:t xml:space="preserve"> provides the building blocks for creating electronic quality measures (e-Measures). The eQuality </w:t>
      </w:r>
      <w:r>
        <w:t xml:space="preserve">CARE </w:t>
      </w:r>
      <w:r w:rsidRPr="00DD1E9D">
        <w:t xml:space="preserve">team is working with the National Committee for Quality Assurance (NCQA) </w:t>
      </w:r>
      <w:r>
        <w:t>to</w:t>
      </w:r>
      <w:r w:rsidRPr="00DD1E9D">
        <w:t xml:space="preserve"> propose additions to the QDM to support CARE data elements.</w:t>
      </w:r>
    </w:p>
    <w:p w:rsidR="00436032" w:rsidRPr="00DD1E9D" w:rsidRDefault="00436032" w:rsidP="00CC2F3B">
      <w:pPr>
        <w:pStyle w:val="Heading1"/>
        <w:ind w:left="0" w:firstLine="0"/>
      </w:pPr>
      <w:bookmarkStart w:id="29" w:name="_Toc332110618"/>
      <w:r>
        <w:t>Findings</w:t>
      </w:r>
      <w:r w:rsidRPr="00DD1E9D">
        <w:t xml:space="preserve"> and Recommendations</w:t>
      </w:r>
      <w:bookmarkEnd w:id="29"/>
    </w:p>
    <w:p w:rsidR="00436032" w:rsidRPr="002A1FA5" w:rsidRDefault="00436032" w:rsidP="00436032">
      <w:pPr>
        <w:pStyle w:val="BodyText"/>
      </w:pPr>
      <w:r w:rsidRPr="002A1FA5">
        <w:t xml:space="preserve">The TEP discussed and provided recommendations </w:t>
      </w:r>
      <w:r>
        <w:t xml:space="preserve">on </w:t>
      </w:r>
      <w:r w:rsidRPr="002A1FA5">
        <w:t xml:space="preserve">two aspects of CARE: use as a universal assessment tool and the impact of Meaningful Use </w:t>
      </w:r>
      <w:r>
        <w:t>S</w:t>
      </w:r>
      <w:r w:rsidRPr="002A1FA5">
        <w:t>tage 3.</w:t>
      </w:r>
    </w:p>
    <w:p w:rsidR="00436032" w:rsidRDefault="007B5E87" w:rsidP="00436032">
      <w:pPr>
        <w:pStyle w:val="Heading2"/>
      </w:pPr>
      <w:bookmarkStart w:id="30" w:name="_Toc332110619"/>
      <w:r>
        <w:t xml:space="preserve">Options for Expanding Use of </w:t>
      </w:r>
      <w:r w:rsidR="00436032" w:rsidRPr="00DD1E9D">
        <w:t xml:space="preserve">CARE as a </w:t>
      </w:r>
      <w:r>
        <w:t>Standardized Data Set</w:t>
      </w:r>
      <w:bookmarkEnd w:id="30"/>
    </w:p>
    <w:p w:rsidR="00B123E2" w:rsidRDefault="00B123E2" w:rsidP="00B123E2">
      <w:pPr>
        <w:pStyle w:val="BodyText"/>
      </w:pPr>
      <w:r>
        <w:t xml:space="preserve">The </w:t>
      </w:r>
      <w:r w:rsidR="007861E9" w:rsidRPr="00DD1E9D">
        <w:t xml:space="preserve">eQuality </w:t>
      </w:r>
      <w:r w:rsidR="007861E9">
        <w:t xml:space="preserve">CARE </w:t>
      </w:r>
      <w:r w:rsidR="007861E9" w:rsidRPr="00DD1E9D">
        <w:t>team</w:t>
      </w:r>
      <w:r>
        <w:t xml:space="preserve"> presented o</w:t>
      </w:r>
      <w:r w:rsidRPr="00DD1E9D">
        <w:t xml:space="preserve">ptions for transition approaches </w:t>
      </w:r>
      <w:r>
        <w:t xml:space="preserve">and launched a </w:t>
      </w:r>
      <w:r w:rsidRPr="00DD1E9D">
        <w:t>discussion about advantages and disadvantages of each approach, as well as possible factors that may impact transition to the use of CARE as a</w:t>
      </w:r>
      <w:r w:rsidR="007B5E87">
        <w:t xml:space="preserve"> standardized data set across care settings</w:t>
      </w:r>
      <w:proofErr w:type="gramStart"/>
      <w:r w:rsidR="007B5E87">
        <w:t>.</w:t>
      </w:r>
      <w:r w:rsidRPr="00DD1E9D">
        <w:t>.</w:t>
      </w:r>
      <w:proofErr w:type="gramEnd"/>
      <w:r>
        <w:t xml:space="preserve"> The TEP examined two key </w:t>
      </w:r>
      <w:r w:rsidR="008F7346">
        <w:t>considerations: the deployment approach and supporting multiple functions through one instrument.</w:t>
      </w:r>
    </w:p>
    <w:p w:rsidR="00436032" w:rsidRDefault="00436032" w:rsidP="00436032">
      <w:pPr>
        <w:pStyle w:val="Heading3"/>
      </w:pPr>
      <w:r w:rsidRPr="00B3308E">
        <w:t>Evolutionary vs. Revolutionary Approach</w:t>
      </w:r>
    </w:p>
    <w:p w:rsidR="0044327E" w:rsidRDefault="00B123E2" w:rsidP="0044327E">
      <w:pPr>
        <w:pStyle w:val="BodyText"/>
      </w:pPr>
      <w:r>
        <w:t>T</w:t>
      </w:r>
      <w:r w:rsidRPr="00DD1E9D">
        <w:t>he TEP</w:t>
      </w:r>
      <w:r>
        <w:t xml:space="preserve"> discussed</w:t>
      </w:r>
      <w:r w:rsidRPr="00DD1E9D">
        <w:t xml:space="preserve"> whether </w:t>
      </w:r>
      <w:r w:rsidR="009F4601">
        <w:t xml:space="preserve">to deploy CARE </w:t>
      </w:r>
      <w:r w:rsidR="009E653F">
        <w:t>incrementally</w:t>
      </w:r>
      <w:r w:rsidR="00607C26">
        <w:t xml:space="preserve"> or replace entire instruments at one time</w:t>
      </w:r>
      <w:r w:rsidR="00607C26" w:rsidRPr="00DD1E9D">
        <w:t xml:space="preserve">. </w:t>
      </w:r>
      <w:r w:rsidR="00501D5C" w:rsidRPr="00DD1E9D">
        <w:t>MDS, OASIS</w:t>
      </w:r>
      <w:r w:rsidR="00501D5C">
        <w:t>,</w:t>
      </w:r>
      <w:r w:rsidR="00501D5C" w:rsidRPr="00DD1E9D">
        <w:t xml:space="preserve"> and </w:t>
      </w:r>
      <w:r w:rsidR="00501D5C">
        <w:t>Inpatient Rehabilitation Facilities-Patient Assessment Instrument (</w:t>
      </w:r>
      <w:r w:rsidR="00501D5C" w:rsidRPr="00DD1E9D">
        <w:t>IRF-PAI)</w:t>
      </w:r>
      <w:r w:rsidR="00501D5C">
        <w:t xml:space="preserve"> are currently </w:t>
      </w:r>
      <w:r w:rsidR="009E653F">
        <w:t xml:space="preserve">in use </w:t>
      </w:r>
      <w:r w:rsidR="00501D5C">
        <w:t xml:space="preserve">as </w:t>
      </w:r>
      <w:r w:rsidR="009E653F">
        <w:t xml:space="preserve">federally mandated </w:t>
      </w:r>
      <w:r w:rsidR="00501D5C">
        <w:t xml:space="preserve">assessment tools. </w:t>
      </w:r>
      <w:r w:rsidR="00607C26">
        <w:t xml:space="preserve">Following an incremental approach, </w:t>
      </w:r>
      <w:r w:rsidR="007B1DD1">
        <w:t>individual items or sections in the</w:t>
      </w:r>
      <w:r w:rsidR="00501D5C">
        <w:t>se</w:t>
      </w:r>
      <w:r w:rsidR="007B1DD1">
        <w:t xml:space="preserve"> </w:t>
      </w:r>
      <w:r w:rsidR="007B5E87">
        <w:t xml:space="preserve">existing assessment instruments </w:t>
      </w:r>
      <w:r w:rsidR="00607C26">
        <w:t>could be changed at different times.</w:t>
      </w:r>
      <w:r w:rsidR="007B1DD1">
        <w:t xml:space="preserve"> </w:t>
      </w:r>
      <w:r w:rsidR="00501D5C">
        <w:t>I</w:t>
      </w:r>
      <w:r>
        <w:t xml:space="preserve">f </w:t>
      </w:r>
      <w:r w:rsidRPr="00DD1E9D">
        <w:t>an incremental approach</w:t>
      </w:r>
      <w:r>
        <w:t xml:space="preserve"> is adopted,</w:t>
      </w:r>
      <w:r w:rsidR="007B1DD1">
        <w:t xml:space="preserve"> the transition should</w:t>
      </w:r>
      <w:r>
        <w:t xml:space="preserve"> start small and</w:t>
      </w:r>
      <w:r w:rsidRPr="00DD1E9D">
        <w:t xml:space="preserve"> </w:t>
      </w:r>
      <w:r>
        <w:t xml:space="preserve">focus on concepts common in </w:t>
      </w:r>
      <w:r w:rsidRPr="00DD1E9D">
        <w:t>all three assessment</w:t>
      </w:r>
      <w:r>
        <w:t xml:space="preserve"> instruments</w:t>
      </w:r>
      <w:r w:rsidRPr="00DD1E9D">
        <w:t>.</w:t>
      </w:r>
      <w:r>
        <w:t xml:space="preserve"> </w:t>
      </w:r>
      <w:r w:rsidR="00501D5C">
        <w:t>For example, p</w:t>
      </w:r>
      <w:r>
        <w:t>ressure ulcer</w:t>
      </w:r>
      <w:r w:rsidR="009F4601">
        <w:t xml:space="preserve"> reporting is </w:t>
      </w:r>
      <w:r w:rsidRPr="00DD1E9D">
        <w:t>mandated in the Affordable Care Act</w:t>
      </w:r>
      <w:r w:rsidR="009F4601">
        <w:t xml:space="preserve"> </w:t>
      </w:r>
      <w:r w:rsidR="009F4601" w:rsidRPr="00DD1E9D">
        <w:t>quality reporting of long</w:t>
      </w:r>
      <w:r w:rsidR="009F4601">
        <w:t>-</w:t>
      </w:r>
      <w:r w:rsidR="009F4601" w:rsidRPr="00DD1E9D">
        <w:t>term care hospital data</w:t>
      </w:r>
      <w:r w:rsidR="001C45DD">
        <w:t xml:space="preserve"> and is a good starting point</w:t>
      </w:r>
      <w:r>
        <w:t xml:space="preserve">. An incremental approach would </w:t>
      </w:r>
      <w:r w:rsidR="00501D5C">
        <w:t xml:space="preserve">also </w:t>
      </w:r>
      <w:r>
        <w:t xml:space="preserve">be a gentler approach </w:t>
      </w:r>
      <w:r w:rsidR="00501D5C">
        <w:t xml:space="preserve">in </w:t>
      </w:r>
      <w:r>
        <w:t>break</w:t>
      </w:r>
      <w:r w:rsidR="00501D5C">
        <w:t>ing</w:t>
      </w:r>
      <w:r>
        <w:t xml:space="preserve"> the</w:t>
      </w:r>
      <w:r w:rsidRPr="00DD1E9D">
        <w:t xml:space="preserve"> strong silos of care </w:t>
      </w:r>
      <w:r>
        <w:t>that exist between</w:t>
      </w:r>
      <w:r w:rsidRPr="00DD1E9D">
        <w:t xml:space="preserve"> hospital</w:t>
      </w:r>
      <w:r>
        <w:t>s</w:t>
      </w:r>
      <w:r w:rsidRPr="00DD1E9D">
        <w:t xml:space="preserve">, </w:t>
      </w:r>
      <w:r>
        <w:t>Skilled Nursing Facilities</w:t>
      </w:r>
      <w:r w:rsidRPr="00DD1E9D">
        <w:t xml:space="preserve"> </w:t>
      </w:r>
      <w:r>
        <w:t>(</w:t>
      </w:r>
      <w:r w:rsidRPr="00DD1E9D">
        <w:t>SNF</w:t>
      </w:r>
      <w:r>
        <w:t>)</w:t>
      </w:r>
      <w:r w:rsidRPr="00DD1E9D">
        <w:t>, home health</w:t>
      </w:r>
      <w:r>
        <w:t>,</w:t>
      </w:r>
      <w:r w:rsidRPr="00DD1E9D">
        <w:t xml:space="preserve"> and inpatient rehabilitation.</w:t>
      </w:r>
      <w:r w:rsidR="0044327E">
        <w:t xml:space="preserve"> </w:t>
      </w:r>
      <w:r w:rsidR="001C45DD">
        <w:t xml:space="preserve">Alternatively, a </w:t>
      </w:r>
      <w:r w:rsidR="00F922B7">
        <w:t>“</w:t>
      </w:r>
      <w:r w:rsidR="001C45DD">
        <w:t>big bang</w:t>
      </w:r>
      <w:r w:rsidR="00F922B7">
        <w:t>”</w:t>
      </w:r>
      <w:r w:rsidR="001C45DD">
        <w:t xml:space="preserve"> approach</w:t>
      </w:r>
      <w:r w:rsidRPr="00DD1E9D">
        <w:t xml:space="preserve"> would create a major change in workflow for staff responsible for completing the assessment tools. </w:t>
      </w:r>
      <w:r>
        <w:t>Challenges would involve</w:t>
      </w:r>
      <w:r w:rsidRPr="00DD1E9D">
        <w:t xml:space="preserve"> </w:t>
      </w:r>
      <w:r>
        <w:t xml:space="preserve">staff </w:t>
      </w:r>
      <w:r w:rsidRPr="00DD1E9D">
        <w:t xml:space="preserve">training </w:t>
      </w:r>
      <w:r w:rsidR="002308F4">
        <w:t xml:space="preserve">time and </w:t>
      </w:r>
      <w:r>
        <w:t xml:space="preserve">creating a process to manage updates to the tool. </w:t>
      </w:r>
      <w:r w:rsidR="007B5E87">
        <w:t>The TEP noted that CMS has not clearly articulated its plans for existing assessment instruments at this time.</w:t>
      </w:r>
    </w:p>
    <w:p w:rsidR="00B123E2" w:rsidRDefault="0044327E" w:rsidP="00B123E2">
      <w:pPr>
        <w:pStyle w:val="BodyText"/>
      </w:pPr>
      <w:r>
        <w:lastRenderedPageBreak/>
        <w:t xml:space="preserve">Another consideration </w:t>
      </w:r>
      <w:r w:rsidR="001C45DD">
        <w:t>is</w:t>
      </w:r>
      <w:r>
        <w:t xml:space="preserve"> </w:t>
      </w:r>
      <w:r w:rsidR="001C45DD">
        <w:t>how</w:t>
      </w:r>
      <w:r>
        <w:t xml:space="preserve"> </w:t>
      </w:r>
      <w:r w:rsidR="007B5E87">
        <w:t xml:space="preserve">changes in clinical practice and advances in clinical evidence </w:t>
      </w:r>
      <w:r w:rsidR="00B26641">
        <w:t>will</w:t>
      </w:r>
      <w:r w:rsidR="007B5E87">
        <w:t xml:space="preserve"> necessitate changes and </w:t>
      </w:r>
      <w:r>
        <w:t xml:space="preserve">updates in </w:t>
      </w:r>
      <w:r w:rsidR="007B5E87">
        <w:t xml:space="preserve">any assessment </w:t>
      </w:r>
      <w:r>
        <w:t>tool.</w:t>
      </w:r>
      <w:r w:rsidR="0004710F">
        <w:t xml:space="preserve"> </w:t>
      </w:r>
      <w:r w:rsidR="00B123E2">
        <w:t>The TEP</w:t>
      </w:r>
      <w:r w:rsidR="00B123E2" w:rsidRPr="00DD1E9D">
        <w:t xml:space="preserve"> recommended </w:t>
      </w:r>
      <w:r w:rsidR="00B123E2">
        <w:t xml:space="preserve">developing a </w:t>
      </w:r>
      <w:r w:rsidR="00B123E2" w:rsidRPr="00DD1E9D">
        <w:t xml:space="preserve">strategy that would involve minimal </w:t>
      </w:r>
      <w:r w:rsidR="0082021A" w:rsidRPr="00DD1E9D">
        <w:t>disrup</w:t>
      </w:r>
      <w:r w:rsidR="0082021A">
        <w:t xml:space="preserve">tion </w:t>
      </w:r>
      <w:r w:rsidR="00B123E2" w:rsidRPr="00DD1E9D">
        <w:t>and maximum impact.</w:t>
      </w:r>
    </w:p>
    <w:p w:rsidR="009C09B7" w:rsidRDefault="00B123E2" w:rsidP="00B22BC3">
      <w:pPr>
        <w:pStyle w:val="BodyText"/>
      </w:pPr>
      <w:r>
        <w:t xml:space="preserve">The </w:t>
      </w:r>
      <w:r w:rsidRPr="00DD1E9D">
        <w:t>TEP suggest</w:t>
      </w:r>
      <w:r>
        <w:t xml:space="preserve">ed </w:t>
      </w:r>
      <w:r w:rsidR="00607C26">
        <w:t xml:space="preserve">that </w:t>
      </w:r>
      <w:r w:rsidR="00501D5C">
        <w:t xml:space="preserve">if </w:t>
      </w:r>
      <w:r w:rsidR="007B5E87">
        <w:t>CMS elect</w:t>
      </w:r>
      <w:r w:rsidR="00501D5C">
        <w:t>s</w:t>
      </w:r>
      <w:r w:rsidR="007B5E87">
        <w:t xml:space="preserve"> to </w:t>
      </w:r>
      <w:r w:rsidRPr="00DD1E9D">
        <w:t xml:space="preserve">transition to </w:t>
      </w:r>
      <w:r>
        <w:t>CARE</w:t>
      </w:r>
      <w:r w:rsidR="00501D5C">
        <w:t xml:space="preserve">, then </w:t>
      </w:r>
      <w:r>
        <w:t>the value position of CARE</w:t>
      </w:r>
      <w:r w:rsidR="00607C26">
        <w:t xml:space="preserve"> </w:t>
      </w:r>
      <w:r w:rsidR="00501D5C">
        <w:t xml:space="preserve">should be kept </w:t>
      </w:r>
      <w:r w:rsidR="00607C26">
        <w:t>in mind</w:t>
      </w:r>
      <w:r w:rsidR="00501D5C">
        <w:t>. S</w:t>
      </w:r>
      <w:r>
        <w:t>tandard vocabularies</w:t>
      </w:r>
      <w:r w:rsidR="00501D5C">
        <w:t xml:space="preserve"> should be maintained.</w:t>
      </w:r>
      <w:r>
        <w:t xml:space="preserve"> </w:t>
      </w:r>
      <w:r w:rsidR="00501D5C">
        <w:t>D</w:t>
      </w:r>
      <w:r>
        <w:t>ata across acute, ambulatory and long-term settings</w:t>
      </w:r>
      <w:r w:rsidR="00501D5C">
        <w:t xml:space="preserve"> should be harmonized</w:t>
      </w:r>
      <w:r>
        <w:t xml:space="preserve">. </w:t>
      </w:r>
      <w:r w:rsidR="00647BD9">
        <w:t xml:space="preserve">If </w:t>
      </w:r>
      <w:r>
        <w:t>starting the transition</w:t>
      </w:r>
      <w:r w:rsidR="00647BD9">
        <w:t xml:space="preserve"> to one standardized instrument</w:t>
      </w:r>
      <w:r>
        <w:t>,</w:t>
      </w:r>
      <w:r w:rsidR="00F922B7">
        <w:t xml:space="preserve"> </w:t>
      </w:r>
      <w:r w:rsidRPr="00DD1E9D">
        <w:t xml:space="preserve">three or four domain functions </w:t>
      </w:r>
      <w:r w:rsidR="00501D5C">
        <w:t>should be selected</w:t>
      </w:r>
      <w:r w:rsidR="00075408">
        <w:t>. These three or four domain functions</w:t>
      </w:r>
      <w:r w:rsidR="00501D5C">
        <w:t xml:space="preserve"> </w:t>
      </w:r>
      <w:r w:rsidR="00075408">
        <w:t>sh</w:t>
      </w:r>
      <w:r w:rsidR="007F4743">
        <w:t>ould align with the</w:t>
      </w:r>
      <w:r w:rsidRPr="00DD1E9D">
        <w:t xml:space="preserve"> </w:t>
      </w:r>
      <w:r w:rsidR="007F4743">
        <w:t xml:space="preserve">minimum required data set for clinical exchange identified for a summary document in Meaningful Use.  </w:t>
      </w:r>
      <w:r>
        <w:t xml:space="preserve"> </w:t>
      </w:r>
    </w:p>
    <w:p w:rsidR="00B22BC3" w:rsidRPr="00B22BC3" w:rsidRDefault="00647BD9" w:rsidP="00B22BC3">
      <w:pPr>
        <w:pStyle w:val="BodyText"/>
      </w:pPr>
      <w:r>
        <w:t xml:space="preserve">In </w:t>
      </w:r>
      <w:r w:rsidR="007F4743">
        <w:t xml:space="preserve">the proposed standard </w:t>
      </w:r>
      <w:r>
        <w:t xml:space="preserve">for </w:t>
      </w:r>
      <w:r w:rsidR="00B22BC3">
        <w:t>M</w:t>
      </w:r>
      <w:r w:rsidR="009C09B7">
        <w:t xml:space="preserve">eaningful </w:t>
      </w:r>
      <w:r w:rsidR="00B22BC3">
        <w:t>U</w:t>
      </w:r>
      <w:r w:rsidR="009C09B7">
        <w:t>se</w:t>
      </w:r>
      <w:r>
        <w:t xml:space="preserve"> stage 2 and 3, objectives for improving care coordination center around providing bidire</w:t>
      </w:r>
      <w:r w:rsidR="007F4743">
        <w:t xml:space="preserve">ctional communication through health information exchange. One type of exchange criteria required is between </w:t>
      </w:r>
      <w:r>
        <w:t xml:space="preserve">providers and eligible hospitals </w:t>
      </w:r>
      <w:r w:rsidR="007F4743">
        <w:t>via an</w:t>
      </w:r>
      <w:r>
        <w:t xml:space="preserve"> </w:t>
      </w:r>
      <w:r w:rsidR="005D45A7">
        <w:t>electronic</w:t>
      </w:r>
      <w:r>
        <w:t xml:space="preserve"> summary care record for patient transitions and referrals</w:t>
      </w:r>
      <w:r w:rsidR="007F4743">
        <w:t>.</w:t>
      </w:r>
      <w:r>
        <w:rPr>
          <w:rStyle w:val="FootnoteReference"/>
        </w:rPr>
        <w:footnoteReference w:id="1"/>
      </w:r>
      <w:r>
        <w:t xml:space="preserve"> </w:t>
      </w:r>
      <w:r w:rsidR="005D45A7">
        <w:t>The Consolidated CDA is the proposed standard for the summary care records which contains a library of templates that enable interoperable exchange of</w:t>
      </w:r>
      <w:r w:rsidR="007F4743">
        <w:t xml:space="preserve"> the</w:t>
      </w:r>
      <w:r w:rsidR="005D45A7">
        <w:t xml:space="preserve"> clinical information. Meaningful</w:t>
      </w:r>
      <w:r w:rsidR="007F4743">
        <w:t xml:space="preserve"> Use</w:t>
      </w:r>
      <w:r w:rsidR="005D45A7">
        <w:t xml:space="preserve"> identifies </w:t>
      </w:r>
      <w:r w:rsidR="007F4743">
        <w:t xml:space="preserve">the </w:t>
      </w:r>
      <w:r w:rsidR="005D45A7">
        <w:t xml:space="preserve">key minimal required data elements for the clinical summary </w:t>
      </w:r>
      <w:r w:rsidR="007F4743">
        <w:t xml:space="preserve">to the patient’s </w:t>
      </w:r>
      <w:r w:rsidR="00915BB4">
        <w:t>demographics, problem list, procedures, lab test, m</w:t>
      </w:r>
      <w:r w:rsidR="00915BB4" w:rsidRPr="005E092E">
        <w:t>ed</w:t>
      </w:r>
      <w:r w:rsidR="00915BB4">
        <w:t>ication list, m</w:t>
      </w:r>
      <w:r w:rsidR="00915BB4" w:rsidRPr="005E092E">
        <w:t>edication allergy list,</w:t>
      </w:r>
      <w:r w:rsidR="00915BB4">
        <w:t xml:space="preserve"> v</w:t>
      </w:r>
      <w:r w:rsidR="00915BB4" w:rsidRPr="005E092E">
        <w:t xml:space="preserve">ital signs </w:t>
      </w:r>
      <w:r w:rsidR="007F4743">
        <w:t xml:space="preserve">and </w:t>
      </w:r>
      <w:r w:rsidR="00915BB4" w:rsidRPr="005E092E">
        <w:t>smoking status.</w:t>
      </w:r>
      <w:r w:rsidR="007F4743">
        <w:t xml:space="preserve">  .</w:t>
      </w:r>
      <w:r w:rsidR="009C09B7">
        <w:t xml:space="preserve"> </w:t>
      </w:r>
      <w:r w:rsidR="00915BB4">
        <w:rPr>
          <w:rStyle w:val="FootnoteReference"/>
        </w:rPr>
        <w:footnoteReference w:id="2"/>
      </w:r>
    </w:p>
    <w:p w:rsidR="00436032" w:rsidRDefault="00945D1D" w:rsidP="00436032">
      <w:pPr>
        <w:pStyle w:val="Heading3"/>
      </w:pPr>
      <w:r>
        <w:t>A S</w:t>
      </w:r>
      <w:r w:rsidR="00A712E1">
        <w:t xml:space="preserve">ingle </w:t>
      </w:r>
      <w:r>
        <w:t>T</w:t>
      </w:r>
      <w:r w:rsidR="00A712E1">
        <w:t xml:space="preserve">ool </w:t>
      </w:r>
      <w:r>
        <w:t>for</w:t>
      </w:r>
      <w:r w:rsidR="00A712E1">
        <w:t xml:space="preserve"> </w:t>
      </w:r>
      <w:r>
        <w:t>R</w:t>
      </w:r>
      <w:r w:rsidR="00A712E1">
        <w:t xml:space="preserve">eimbursement, </w:t>
      </w:r>
      <w:r>
        <w:t>C</w:t>
      </w:r>
      <w:r w:rsidR="00A712E1">
        <w:t xml:space="preserve">linical </w:t>
      </w:r>
      <w:r>
        <w:t>C</w:t>
      </w:r>
      <w:r w:rsidR="00A712E1">
        <w:t>are</w:t>
      </w:r>
      <w:r>
        <w:t>,</w:t>
      </w:r>
      <w:r w:rsidR="00A712E1">
        <w:t xml:space="preserve"> and </w:t>
      </w:r>
      <w:r>
        <w:t>Q</w:t>
      </w:r>
      <w:r w:rsidR="00414144">
        <w:t>uality</w:t>
      </w:r>
      <w:r w:rsidR="00A712E1">
        <w:t xml:space="preserve"> </w:t>
      </w:r>
      <w:r>
        <w:t>R</w:t>
      </w:r>
      <w:r w:rsidR="00A712E1">
        <w:t>eporting</w:t>
      </w:r>
      <w:r w:rsidR="00414144">
        <w:t xml:space="preserve"> </w:t>
      </w:r>
    </w:p>
    <w:p w:rsidR="005A2AD2" w:rsidRDefault="00E64071">
      <w:pPr>
        <w:pStyle w:val="BodyText"/>
      </w:pPr>
      <w:r>
        <w:t>Currently,</w:t>
      </w:r>
      <w:r w:rsidR="00A712E1">
        <w:t xml:space="preserve"> the</w:t>
      </w:r>
      <w:r>
        <w:t xml:space="preserve"> </w:t>
      </w:r>
      <w:r w:rsidRPr="00DD1E9D">
        <w:t xml:space="preserve">MDS, OASIS and IRF-PAI </w:t>
      </w:r>
      <w:r w:rsidR="001E6AC9">
        <w:t xml:space="preserve">assessment </w:t>
      </w:r>
      <w:r w:rsidR="00A712E1">
        <w:t xml:space="preserve">data elements support reimbursement, clinical care, </w:t>
      </w:r>
      <w:r w:rsidR="00BA4237">
        <w:t xml:space="preserve">regulatory compliance, </w:t>
      </w:r>
      <w:r w:rsidR="00A712E1">
        <w:t>and quality reporting</w:t>
      </w:r>
      <w:r w:rsidR="00436032" w:rsidRPr="00E00976">
        <w:t xml:space="preserve">. </w:t>
      </w:r>
      <w:r w:rsidR="00BE6312" w:rsidRPr="00E00976">
        <w:t xml:space="preserve">When </w:t>
      </w:r>
      <w:r w:rsidR="005A2AD2">
        <w:t xml:space="preserve">changes or additions to any of these existing instruments are made, the multiple uses of their data must be </w:t>
      </w:r>
      <w:r w:rsidR="00BE6312" w:rsidRPr="00E00976">
        <w:t>considered</w:t>
      </w:r>
      <w:r w:rsidR="00A712E1" w:rsidRPr="00E00976">
        <w:t xml:space="preserve">. The TEP and </w:t>
      </w:r>
      <w:r w:rsidR="007861E9" w:rsidRPr="00DD1E9D">
        <w:t xml:space="preserve">eQuality </w:t>
      </w:r>
      <w:r w:rsidR="007861E9">
        <w:t xml:space="preserve">CARE </w:t>
      </w:r>
      <w:r w:rsidR="007861E9" w:rsidRPr="00DD1E9D">
        <w:t>team</w:t>
      </w:r>
      <w:r w:rsidR="007861E9" w:rsidRPr="00252171">
        <w:t xml:space="preserve"> </w:t>
      </w:r>
      <w:r w:rsidR="00A712E1" w:rsidRPr="00E00976">
        <w:t xml:space="preserve">discussed whether the CARE </w:t>
      </w:r>
      <w:r w:rsidR="005A2AD2">
        <w:t xml:space="preserve">data set could potentially </w:t>
      </w:r>
      <w:r w:rsidR="00BE6312" w:rsidRPr="00E00976">
        <w:t xml:space="preserve">support </w:t>
      </w:r>
      <w:r w:rsidR="00312A52">
        <w:t>multiple functions</w:t>
      </w:r>
      <w:r w:rsidR="00E00976" w:rsidRPr="00E00976">
        <w:t xml:space="preserve"> </w:t>
      </w:r>
      <w:r w:rsidR="00BE6312" w:rsidRPr="00E00976">
        <w:t>as a</w:t>
      </w:r>
      <w:r w:rsidR="00A712E1" w:rsidRPr="00E00976">
        <w:t xml:space="preserve"> single instrument</w:t>
      </w:r>
      <w:r w:rsidR="001E6AC9">
        <w:t xml:space="preserve"> for the PAC LTCH</w:t>
      </w:r>
      <w:r w:rsidR="005A2AD2">
        <w:t>. Although further discussion</w:t>
      </w:r>
      <w:r w:rsidR="00A14D84">
        <w:t xml:space="preserve"> continued</w:t>
      </w:r>
      <w:r w:rsidR="005A2AD2">
        <w:t xml:space="preserve"> along these lines</w:t>
      </w:r>
      <w:r w:rsidR="00A14D84">
        <w:t>, the topic</w:t>
      </w:r>
      <w:r w:rsidR="005A2AD2">
        <w:t xml:space="preserve"> w</w:t>
      </w:r>
      <w:r w:rsidR="00A14D84">
        <w:t>ent</w:t>
      </w:r>
      <w:r w:rsidR="005A2AD2">
        <w:t xml:space="preserve"> outside the scope of this TEP’s purpose. </w:t>
      </w:r>
      <w:r w:rsidR="001E6AC9">
        <w:t xml:space="preserve"> </w:t>
      </w:r>
    </w:p>
    <w:p w:rsidR="00436032" w:rsidRPr="002A1FA5" w:rsidRDefault="005A2AD2" w:rsidP="00EC310B">
      <w:pPr>
        <w:pStyle w:val="BodyText"/>
      </w:pPr>
      <w:r>
        <w:t xml:space="preserve">Current assessment instruments, such as the MDS, OASIS and IRF-PAI capture health and functional status data, but express the data using different terminology and different measurement scales.  Disparate data generated from these instruments cannot be compared across settings, over time to understand clinical outcomes and resource use. </w:t>
      </w:r>
      <w:r w:rsidR="005360EE">
        <w:t xml:space="preserve">Selection of specific </w:t>
      </w:r>
      <w:r w:rsidR="00E64071">
        <w:t xml:space="preserve">CARE </w:t>
      </w:r>
      <w:r w:rsidR="005360EE">
        <w:t xml:space="preserve">data concepts that represent patient’s functional and cognitive status </w:t>
      </w:r>
      <w:r w:rsidR="00B26641">
        <w:t xml:space="preserve">in a uniform way across settings, over time, </w:t>
      </w:r>
      <w:r w:rsidR="005360EE">
        <w:t>would aid in closing the gap.</w:t>
      </w:r>
      <w:r w:rsidR="00B1118D">
        <w:t xml:space="preserve"> </w:t>
      </w:r>
      <w:r w:rsidR="00B1118D" w:rsidRPr="00DD1E9D">
        <w:t>Two functional outcome measures</w:t>
      </w:r>
      <w:r w:rsidR="00B1118D">
        <w:t xml:space="preserve">, </w:t>
      </w:r>
      <w:r w:rsidR="00B1118D" w:rsidRPr="00DD1E9D">
        <w:t>Mobility Change Score and Self-Care Change Score</w:t>
      </w:r>
      <w:r w:rsidR="00B1118D">
        <w:t>,</w:t>
      </w:r>
      <w:r w:rsidR="00B1118D" w:rsidRPr="00DD1E9D">
        <w:t xml:space="preserve"> are currently under development with RTI</w:t>
      </w:r>
      <w:r w:rsidR="00B1118D">
        <w:t xml:space="preserve">; </w:t>
      </w:r>
      <w:r w:rsidR="00B1118D" w:rsidRPr="00DD1E9D">
        <w:t xml:space="preserve">CARE </w:t>
      </w:r>
      <w:r w:rsidR="00B1118D">
        <w:t>will be</w:t>
      </w:r>
      <w:r w:rsidR="00B1118D" w:rsidRPr="00DD1E9D">
        <w:t xml:space="preserve"> the</w:t>
      </w:r>
      <w:r w:rsidR="00B1118D">
        <w:t xml:space="preserve"> resource for the</w:t>
      </w:r>
      <w:r w:rsidR="00B1118D" w:rsidRPr="00DD1E9D">
        <w:t xml:space="preserve"> data</w:t>
      </w:r>
      <w:r w:rsidR="00B1118D">
        <w:t xml:space="preserve">. </w:t>
      </w:r>
      <w:r w:rsidR="00B1118D" w:rsidRPr="00DD1E9D">
        <w:t xml:space="preserve">Other possible </w:t>
      </w:r>
      <w:r w:rsidR="00EC310B">
        <w:t xml:space="preserve">patient assessment </w:t>
      </w:r>
      <w:r w:rsidR="00B1118D" w:rsidRPr="00DD1E9D">
        <w:t>quality measure</w:t>
      </w:r>
      <w:r w:rsidR="00B1118D">
        <w:t>s</w:t>
      </w:r>
      <w:r w:rsidR="00B1118D" w:rsidRPr="00DD1E9D">
        <w:t xml:space="preserve"> </w:t>
      </w:r>
      <w:r w:rsidR="00B26641">
        <w:t>c</w:t>
      </w:r>
      <w:r w:rsidR="00B1118D">
        <w:t xml:space="preserve">ould include </w:t>
      </w:r>
      <w:r w:rsidR="00B26641">
        <w:t xml:space="preserve">outcomes related </w:t>
      </w:r>
      <w:proofErr w:type="gramStart"/>
      <w:r w:rsidR="00B26641">
        <w:t xml:space="preserve">to </w:t>
      </w:r>
      <w:r w:rsidR="00B1118D">
        <w:t xml:space="preserve"> </w:t>
      </w:r>
      <w:r w:rsidR="00B1118D" w:rsidRPr="00DD1E9D">
        <w:t>cognition</w:t>
      </w:r>
      <w:proofErr w:type="gramEnd"/>
      <w:r w:rsidR="00B1118D" w:rsidRPr="00DD1E9D">
        <w:t>, communication, memory , delirium,  and swallowing</w:t>
      </w:r>
      <w:r w:rsidR="00B1118D">
        <w:t xml:space="preserve">. </w:t>
      </w:r>
      <w:r w:rsidR="00436032">
        <w:t>T</w:t>
      </w:r>
      <w:r w:rsidR="00436032" w:rsidRPr="002A1FA5">
        <w:t xml:space="preserve">he </w:t>
      </w:r>
      <w:r w:rsidR="00436032">
        <w:t>R</w:t>
      </w:r>
      <w:r w:rsidR="00436032" w:rsidRPr="002A1FA5">
        <w:t xml:space="preserve">ole of </w:t>
      </w:r>
      <w:r w:rsidR="00436032">
        <w:t>P</w:t>
      </w:r>
      <w:r w:rsidR="00436032" w:rsidRPr="002A1FA5">
        <w:t>ost</w:t>
      </w:r>
      <w:r w:rsidR="00436032">
        <w:t>-A</w:t>
      </w:r>
      <w:r w:rsidR="00436032" w:rsidRPr="002A1FA5">
        <w:t xml:space="preserve">cute </w:t>
      </w:r>
      <w:r w:rsidR="00436032">
        <w:t>C</w:t>
      </w:r>
      <w:r w:rsidR="00436032" w:rsidRPr="002A1FA5">
        <w:t>are in Meaningful Use Stage 3</w:t>
      </w:r>
    </w:p>
    <w:p w:rsidR="00312A52" w:rsidRDefault="00436032" w:rsidP="00436032">
      <w:pPr>
        <w:pStyle w:val="BodyText"/>
      </w:pPr>
      <w:r>
        <w:t xml:space="preserve">The </w:t>
      </w:r>
      <w:r w:rsidR="007861E9" w:rsidRPr="00DD1E9D">
        <w:t xml:space="preserve">eQuality </w:t>
      </w:r>
      <w:r w:rsidR="007861E9">
        <w:t xml:space="preserve">CARE </w:t>
      </w:r>
      <w:r w:rsidR="007861E9" w:rsidRPr="00DD1E9D">
        <w:t>team</w:t>
      </w:r>
      <w:r w:rsidR="007861E9" w:rsidRPr="00252171">
        <w:t xml:space="preserve"> </w:t>
      </w:r>
      <w:r>
        <w:t>provided a s</w:t>
      </w:r>
      <w:r w:rsidRPr="00DD1E9D">
        <w:t xml:space="preserve">tatus update </w:t>
      </w:r>
      <w:r>
        <w:t>on</w:t>
      </w:r>
      <w:r w:rsidRPr="00DD1E9D">
        <w:t xml:space="preserve"> </w:t>
      </w:r>
      <w:r w:rsidR="008019CD">
        <w:t xml:space="preserve">some of the </w:t>
      </w:r>
      <w:r w:rsidRPr="00DD1E9D">
        <w:t xml:space="preserve">CMS </w:t>
      </w:r>
      <w:r w:rsidR="008019CD">
        <w:t>q</w:t>
      </w:r>
      <w:r w:rsidRPr="00DD1E9D">
        <w:t xml:space="preserve">uality </w:t>
      </w:r>
      <w:r w:rsidR="008019CD">
        <w:t>m</w:t>
      </w:r>
      <w:r w:rsidRPr="00DD1E9D">
        <w:t>easures</w:t>
      </w:r>
      <w:r w:rsidR="008019CD">
        <w:t xml:space="preserve"> surrounding PAC.</w:t>
      </w:r>
      <w:r w:rsidR="00F922B7">
        <w:t xml:space="preserve"> </w:t>
      </w:r>
      <w:r w:rsidRPr="00DD1E9D">
        <w:t>Pressure ulcer measure NQF</w:t>
      </w:r>
      <w:r w:rsidR="00EC310B">
        <w:t xml:space="preserve"> </w:t>
      </w:r>
      <w:r w:rsidRPr="00DD1E9D">
        <w:t xml:space="preserve">#0678, used in the nursing home setting, is now under NQF review to expand endorsement beyond nursing homes to include LTC hospitals and </w:t>
      </w:r>
      <w:r w:rsidR="00E01810">
        <w:t>I</w:t>
      </w:r>
      <w:r w:rsidRPr="00DD1E9D">
        <w:t>RFs.</w:t>
      </w:r>
      <w:r w:rsidR="008019CD">
        <w:t xml:space="preserve"> </w:t>
      </w:r>
      <w:r w:rsidRPr="00DD1E9D">
        <w:t>Pressure ulcer quality measures are under consideration by The Joint Commission and the American Nurses Association (ANA).</w:t>
      </w:r>
      <w:r w:rsidR="008019CD">
        <w:t xml:space="preserve"> </w:t>
      </w:r>
      <w:r w:rsidR="00B1118D">
        <w:t>F</w:t>
      </w:r>
      <w:r w:rsidR="00B1118D" w:rsidRPr="00DD1E9D">
        <w:t>or Meaningful Use Stage 3</w:t>
      </w:r>
      <w:r w:rsidR="00B1118D">
        <w:t xml:space="preserve">, the TEP recommended post-acute care </w:t>
      </w:r>
      <w:r w:rsidR="00BA4237">
        <w:t>utilize</w:t>
      </w:r>
      <w:r w:rsidR="00B1118D" w:rsidRPr="00DD1E9D">
        <w:t xml:space="preserve"> existing data sets</w:t>
      </w:r>
      <w:r w:rsidR="00B1118D">
        <w:t xml:space="preserve"> (e.g.,</w:t>
      </w:r>
      <w:r w:rsidR="00B1118D" w:rsidRPr="00DD1E9D">
        <w:t xml:space="preserve"> the ANA pressure ulcer data</w:t>
      </w:r>
      <w:r w:rsidR="00B1118D">
        <w:t xml:space="preserve">), </w:t>
      </w:r>
      <w:r w:rsidR="00BA4237">
        <w:t xml:space="preserve">support development of a </w:t>
      </w:r>
      <w:r w:rsidR="00B1118D">
        <w:t>s</w:t>
      </w:r>
      <w:r w:rsidR="00B1118D" w:rsidRPr="00DD1E9D">
        <w:t>emantic</w:t>
      </w:r>
      <w:r w:rsidR="00BA4237">
        <w:t>ally interoperable patient assessment summary with carefully selected clinically relevant data</w:t>
      </w:r>
      <w:r w:rsidR="00B1118D">
        <w:t>, f</w:t>
      </w:r>
      <w:r w:rsidR="00B1118D" w:rsidRPr="00DD1E9D">
        <w:t>ocus on transitions in CAR</w:t>
      </w:r>
      <w:r w:rsidR="00BA4237">
        <w:t>E used in</w:t>
      </w:r>
      <w:r w:rsidR="00B1118D" w:rsidRPr="00DD1E9D">
        <w:t xml:space="preserve"> certified EHRs</w:t>
      </w:r>
      <w:r w:rsidR="00BA4237">
        <w:t>,</w:t>
      </w:r>
      <w:r w:rsidR="00B1118D">
        <w:t xml:space="preserve"> and m</w:t>
      </w:r>
      <w:r w:rsidR="00B1118D" w:rsidRPr="00DD1E9D">
        <w:t>aintena</w:t>
      </w:r>
      <w:r w:rsidR="00B1118D">
        <w:t>nce of</w:t>
      </w:r>
      <w:r w:rsidR="00B1118D" w:rsidRPr="00DD1E9D">
        <w:t xml:space="preserve"> incentives </w:t>
      </w:r>
      <w:r w:rsidR="00B1118D">
        <w:t xml:space="preserve">for </w:t>
      </w:r>
      <w:r w:rsidR="00B1118D" w:rsidRPr="00DD1E9D">
        <w:lastRenderedPageBreak/>
        <w:t xml:space="preserve">requirements. </w:t>
      </w:r>
      <w:r w:rsidR="00B1118D">
        <w:t>The TEP also r</w:t>
      </w:r>
      <w:r w:rsidR="00B1118D" w:rsidRPr="00DD1E9D">
        <w:t>ecommend</w:t>
      </w:r>
      <w:r w:rsidR="00B1118D">
        <w:t>ed that</w:t>
      </w:r>
      <w:r w:rsidR="00B1118D" w:rsidRPr="00DD1E9D">
        <w:t xml:space="preserve"> PAC </w:t>
      </w:r>
      <w:r w:rsidR="00B1118D">
        <w:t xml:space="preserve">programs </w:t>
      </w:r>
      <w:r w:rsidR="00B1118D" w:rsidRPr="00DD1E9D">
        <w:t>seek partnership with hospitals and ambulatory care providers.</w:t>
      </w:r>
      <w:r w:rsidR="00B1118D">
        <w:t xml:space="preserve"> </w:t>
      </w:r>
    </w:p>
    <w:p w:rsidR="003E2212" w:rsidRDefault="00327C34" w:rsidP="003E2212">
      <w:pPr>
        <w:pStyle w:val="BodyText"/>
      </w:pPr>
      <w:r>
        <w:t>T</w:t>
      </w:r>
      <w:r w:rsidRPr="00DD1E9D">
        <w:t>o enhance future interoperability</w:t>
      </w:r>
      <w:r>
        <w:t xml:space="preserve"> for the CARE tool, the </w:t>
      </w:r>
      <w:r w:rsidR="00436032" w:rsidRPr="00DD1E9D">
        <w:t>T</w:t>
      </w:r>
      <w:r>
        <w:t xml:space="preserve">EP </w:t>
      </w:r>
      <w:r w:rsidR="00BE78C9">
        <w:t>provided a number of recommendations</w:t>
      </w:r>
      <w:r w:rsidR="007C142C">
        <w:t>:</w:t>
      </w:r>
      <w:r w:rsidR="00BE78C9">
        <w:t xml:space="preserve"> </w:t>
      </w:r>
    </w:p>
    <w:p w:rsidR="00436032" w:rsidRPr="00DD1E9D" w:rsidRDefault="00137475" w:rsidP="003E2212">
      <w:pPr>
        <w:pStyle w:val="ListBullet"/>
      </w:pPr>
      <w:r>
        <w:t>Integrate</w:t>
      </w:r>
      <w:r w:rsidR="00436032">
        <w:t xml:space="preserve"> CARE data</w:t>
      </w:r>
      <w:r w:rsidR="00436032" w:rsidRPr="00DD1E9D">
        <w:t xml:space="preserve"> with personal health records</w:t>
      </w:r>
      <w:r w:rsidR="00C55513">
        <w:t>.</w:t>
      </w:r>
    </w:p>
    <w:p w:rsidR="00436032" w:rsidRPr="00DD1E9D" w:rsidRDefault="00CB07C2" w:rsidP="00436032">
      <w:pPr>
        <w:pStyle w:val="ListBullet"/>
      </w:pPr>
      <w:r>
        <w:t xml:space="preserve">Establish </w:t>
      </w:r>
      <w:r w:rsidR="00D13709">
        <w:t xml:space="preserve">interoperable </w:t>
      </w:r>
      <w:r w:rsidR="00436032" w:rsidRPr="00DD1E9D">
        <w:t xml:space="preserve">partnerships </w:t>
      </w:r>
      <w:r w:rsidR="00137475">
        <w:t>with other</w:t>
      </w:r>
      <w:r w:rsidR="00436032" w:rsidRPr="00DD1E9D">
        <w:t xml:space="preserve"> healthcare industry</w:t>
      </w:r>
      <w:r w:rsidR="00436032">
        <w:t xml:space="preserve"> </w:t>
      </w:r>
      <w:r w:rsidR="00137475">
        <w:t xml:space="preserve">providers to </w:t>
      </w:r>
      <w:r w:rsidR="00436032" w:rsidRPr="00DD1E9D">
        <w:t>engage LTC in exchange information</w:t>
      </w:r>
      <w:r w:rsidR="00C55513">
        <w:t>.</w:t>
      </w:r>
    </w:p>
    <w:p w:rsidR="00436032" w:rsidRPr="00DD1E9D" w:rsidRDefault="00436032" w:rsidP="00436032">
      <w:pPr>
        <w:pStyle w:val="ListBullet"/>
      </w:pPr>
      <w:r w:rsidRPr="00DD1E9D">
        <w:t>Use CARE data for research</w:t>
      </w:r>
      <w:r w:rsidR="0085441B">
        <w:t xml:space="preserve"> and clinical quality reporting </w:t>
      </w:r>
      <w:r w:rsidR="007C142C">
        <w:t>using national standards from s</w:t>
      </w:r>
      <w:r w:rsidR="007C142C" w:rsidRPr="00DD1E9D">
        <w:t xml:space="preserve">kin, </w:t>
      </w:r>
      <w:r w:rsidR="007C142C">
        <w:t>cognitive</w:t>
      </w:r>
      <w:r w:rsidR="007C142C" w:rsidRPr="00DD1E9D">
        <w:t>,</w:t>
      </w:r>
      <w:r w:rsidR="007C142C">
        <w:t xml:space="preserve"> and</w:t>
      </w:r>
      <w:r w:rsidR="007C142C" w:rsidRPr="00DD1E9D">
        <w:t xml:space="preserve"> </w:t>
      </w:r>
      <w:r w:rsidR="007C142C">
        <w:t>f</w:t>
      </w:r>
      <w:r w:rsidR="007C142C" w:rsidRPr="00DD1E9D">
        <w:t xml:space="preserve">unctional </w:t>
      </w:r>
      <w:r w:rsidR="007C142C">
        <w:t>a</w:t>
      </w:r>
      <w:r w:rsidR="007C142C" w:rsidRPr="00DD1E9D">
        <w:t>ssessment</w:t>
      </w:r>
      <w:r w:rsidR="007C142C">
        <w:t xml:space="preserve"> concepts</w:t>
      </w:r>
      <w:r w:rsidR="00C55513">
        <w:t>.</w:t>
      </w:r>
    </w:p>
    <w:p w:rsidR="00436032" w:rsidRDefault="00436032" w:rsidP="00436032">
      <w:pPr>
        <w:pStyle w:val="ListBullet"/>
      </w:pPr>
      <w:r w:rsidRPr="00DD1E9D">
        <w:t>Make CARE part of the integrated health care system</w:t>
      </w:r>
      <w:r w:rsidR="007C142C">
        <w:t xml:space="preserve"> to support a </w:t>
      </w:r>
      <w:r w:rsidR="00B26641">
        <w:t xml:space="preserve">provider to provider </w:t>
      </w:r>
      <w:r w:rsidR="007C142C" w:rsidRPr="00DD1E9D">
        <w:t>hand</w:t>
      </w:r>
      <w:r w:rsidR="007C142C">
        <w:t>-</w:t>
      </w:r>
      <w:r w:rsidR="007C142C" w:rsidRPr="00DD1E9D">
        <w:t>off</w:t>
      </w:r>
      <w:r w:rsidR="00B26641">
        <w:t xml:space="preserve"> and safer care transitions</w:t>
      </w:r>
      <w:r w:rsidR="00C55513">
        <w:t>.</w:t>
      </w:r>
    </w:p>
    <w:p w:rsidR="007C142C" w:rsidRPr="00DD1E9D" w:rsidRDefault="007C142C" w:rsidP="00436032">
      <w:pPr>
        <w:pStyle w:val="ListBullet"/>
      </w:pPr>
      <w:r>
        <w:t xml:space="preserve">Develop a </w:t>
      </w:r>
      <w:r w:rsidRPr="00DD1E9D">
        <w:t xml:space="preserve">framework </w:t>
      </w:r>
      <w:r>
        <w:t xml:space="preserve">where </w:t>
      </w:r>
      <w:r w:rsidRPr="00DD1E9D">
        <w:t xml:space="preserve">CARE </w:t>
      </w:r>
      <w:r>
        <w:t>data</w:t>
      </w:r>
      <w:r w:rsidRPr="00DD1E9D">
        <w:t xml:space="preserve"> </w:t>
      </w:r>
      <w:r>
        <w:t xml:space="preserve">can be transmitted </w:t>
      </w:r>
      <w:r w:rsidR="0085441B">
        <w:t xml:space="preserve">to different providers regardless of setting. </w:t>
      </w:r>
    </w:p>
    <w:p w:rsidR="00436032" w:rsidRDefault="00436032" w:rsidP="00436032">
      <w:pPr>
        <w:pStyle w:val="ListBullet"/>
      </w:pPr>
      <w:r w:rsidRPr="00DD1E9D">
        <w:t>Include best practice for chronic disease management</w:t>
      </w:r>
      <w:r w:rsidR="00C55513">
        <w:t>.</w:t>
      </w:r>
    </w:p>
    <w:p w:rsidR="00436032" w:rsidRPr="00DD1E9D" w:rsidRDefault="00436032" w:rsidP="00436032">
      <w:pPr>
        <w:pStyle w:val="ListBullet"/>
      </w:pPr>
      <w:r>
        <w:t>Modify the</w:t>
      </w:r>
      <w:r w:rsidR="00137475">
        <w:t xml:space="preserve"> CARE tool </w:t>
      </w:r>
      <w:r w:rsidR="007C142C">
        <w:t xml:space="preserve">and develop comprehensive </w:t>
      </w:r>
      <w:r w:rsidR="00137475">
        <w:t>care plan</w:t>
      </w:r>
      <w:r w:rsidR="007C142C">
        <w:t>s.</w:t>
      </w:r>
      <w:r w:rsidR="00137475">
        <w:t xml:space="preserve"> </w:t>
      </w:r>
    </w:p>
    <w:p w:rsidR="00436032" w:rsidRPr="00DD1E9D" w:rsidRDefault="00436032" w:rsidP="00436032">
      <w:pPr>
        <w:pStyle w:val="ListBullet"/>
      </w:pPr>
      <w:r>
        <w:t>Ensure c</w:t>
      </w:r>
      <w:r w:rsidRPr="00DD1E9D">
        <w:t xml:space="preserve">onsistency </w:t>
      </w:r>
      <w:r w:rsidR="00137475">
        <w:t xml:space="preserve">in </w:t>
      </w:r>
      <w:r w:rsidRPr="00DD1E9D">
        <w:t>data</w:t>
      </w:r>
      <w:r>
        <w:t xml:space="preserve"> </w:t>
      </w:r>
      <w:r w:rsidR="008A7779">
        <w:t>capture</w:t>
      </w:r>
      <w:r w:rsidR="00137475">
        <w:t xml:space="preserve"> across multiple settings for </w:t>
      </w:r>
      <w:r>
        <w:t>patient care, billing and clinical quality measures</w:t>
      </w:r>
      <w:r w:rsidR="00C55513">
        <w:t>.</w:t>
      </w:r>
    </w:p>
    <w:p w:rsidR="00436032" w:rsidRPr="00DD1E9D" w:rsidRDefault="00436032" w:rsidP="00436032">
      <w:pPr>
        <w:pStyle w:val="ListBullet"/>
      </w:pPr>
      <w:r>
        <w:t xml:space="preserve">Make </w:t>
      </w:r>
      <w:r w:rsidRPr="00DD1E9D">
        <w:t>workflow</w:t>
      </w:r>
      <w:r>
        <w:t>s consistent</w:t>
      </w:r>
      <w:r w:rsidR="00C55513">
        <w:t>.</w:t>
      </w:r>
    </w:p>
    <w:p w:rsidR="00137475" w:rsidRDefault="00436032" w:rsidP="00436032">
      <w:pPr>
        <w:pStyle w:val="ListBullet"/>
      </w:pPr>
      <w:r>
        <w:t>Create</w:t>
      </w:r>
      <w:r w:rsidRPr="00DD1E9D">
        <w:t xml:space="preserve"> additional standard document types to accommodate the scope of practice unique to </w:t>
      </w:r>
      <w:r w:rsidR="008A7779">
        <w:t>each</w:t>
      </w:r>
      <w:r w:rsidR="008A7779" w:rsidRPr="00DD1E9D">
        <w:t xml:space="preserve"> </w:t>
      </w:r>
      <w:r w:rsidRPr="00DD1E9D">
        <w:t xml:space="preserve">PAC setting. </w:t>
      </w:r>
    </w:p>
    <w:p w:rsidR="00436032" w:rsidRDefault="00137475" w:rsidP="00436032">
      <w:pPr>
        <w:pStyle w:val="ListBullet"/>
      </w:pPr>
      <w:r>
        <w:t>Develop</w:t>
      </w:r>
      <w:r w:rsidR="00436032" w:rsidRPr="00DD1E9D">
        <w:t xml:space="preserve"> </w:t>
      </w:r>
      <w:r>
        <w:t>standards that will allow for</w:t>
      </w:r>
      <w:r w:rsidR="00436032" w:rsidRPr="00DD1E9D">
        <w:t xml:space="preserve"> trending and tracking of clinical data.</w:t>
      </w:r>
    </w:p>
    <w:p w:rsidR="007C142C" w:rsidRPr="00DD1E9D" w:rsidRDefault="007C142C" w:rsidP="00436032">
      <w:pPr>
        <w:pStyle w:val="ListBullet"/>
      </w:pPr>
      <w:r>
        <w:t>Support changes in payment models.</w:t>
      </w:r>
    </w:p>
    <w:p w:rsidR="00436032" w:rsidRPr="00DD1E9D" w:rsidRDefault="00436032" w:rsidP="00436032">
      <w:pPr>
        <w:pStyle w:val="Heading1"/>
      </w:pPr>
      <w:bookmarkStart w:id="31" w:name="_Toc332110620"/>
      <w:r w:rsidRPr="00DD1E9D">
        <w:t>Summary</w:t>
      </w:r>
      <w:bookmarkEnd w:id="31"/>
    </w:p>
    <w:p w:rsidR="00A640C4" w:rsidRDefault="00436032" w:rsidP="00A51F7B">
      <w:pPr>
        <w:pStyle w:val="BodyText"/>
      </w:pPr>
      <w:r w:rsidRPr="00DD1E9D">
        <w:t xml:space="preserve">The TEP meeting concluded with participants sharing </w:t>
      </w:r>
      <w:r w:rsidR="00CE6D08">
        <w:t xml:space="preserve">what impact they believed CARE would </w:t>
      </w:r>
      <w:r w:rsidR="00A640C4">
        <w:t>have on the industry</w:t>
      </w:r>
      <w:r w:rsidR="00CE6D08">
        <w:t xml:space="preserve"> in the next five years. Responses included:</w:t>
      </w:r>
    </w:p>
    <w:p w:rsidR="00914104" w:rsidRDefault="00914104" w:rsidP="00914104">
      <w:pPr>
        <w:pStyle w:val="ListBullet"/>
      </w:pPr>
      <w:r w:rsidRPr="0096463E">
        <w:t>The industry</w:t>
      </w:r>
      <w:r>
        <w:t xml:space="preserve"> will have</w:t>
      </w:r>
      <w:r w:rsidRPr="0096463E">
        <w:t xml:space="preserve"> adopted a standardize</w:t>
      </w:r>
      <w:r w:rsidR="00B26641">
        <w:t xml:space="preserve">d approach to measuring patient’s </w:t>
      </w:r>
      <w:r w:rsidRPr="0096463E">
        <w:t>function</w:t>
      </w:r>
      <w:r w:rsidR="00B26641">
        <w:t>al status at various</w:t>
      </w:r>
      <w:r>
        <w:t xml:space="preserve"> point</w:t>
      </w:r>
      <w:r w:rsidR="00B26641">
        <w:t>s</w:t>
      </w:r>
      <w:r w:rsidRPr="00DD1E9D">
        <w:t xml:space="preserve"> in time</w:t>
      </w:r>
      <w:r w:rsidR="00B26641">
        <w:t>, regardless of care setting</w:t>
      </w:r>
      <w:r w:rsidRPr="00DD1E9D">
        <w:t>.</w:t>
      </w:r>
      <w:r>
        <w:t xml:space="preserve"> </w:t>
      </w:r>
    </w:p>
    <w:p w:rsidR="00914104" w:rsidRDefault="00B26641" w:rsidP="00914104">
      <w:pPr>
        <w:pStyle w:val="ListBullet"/>
      </w:pPr>
      <w:r>
        <w:t>Standards-based data</w:t>
      </w:r>
      <w:r w:rsidRPr="00DD1E9D">
        <w:t xml:space="preserve"> </w:t>
      </w:r>
      <w:r>
        <w:t xml:space="preserve">will be </w:t>
      </w:r>
      <w:r w:rsidRPr="00DD1E9D">
        <w:t>uni</w:t>
      </w:r>
      <w:r>
        <w:t xml:space="preserve">form and comparable, to support industry’s ability to </w:t>
      </w:r>
      <w:r w:rsidRPr="00DD1E9D">
        <w:t>measure quality across settings</w:t>
      </w:r>
      <w:r>
        <w:t>, over time</w:t>
      </w:r>
      <w:proofErr w:type="gramStart"/>
      <w:r>
        <w:t>.</w:t>
      </w:r>
      <w:r w:rsidR="00914104" w:rsidRPr="00DD1E9D">
        <w:t>.</w:t>
      </w:r>
      <w:proofErr w:type="gramEnd"/>
    </w:p>
    <w:p w:rsidR="00436032" w:rsidRPr="00DD1E9D" w:rsidRDefault="00436032" w:rsidP="00CC2F3B">
      <w:pPr>
        <w:pStyle w:val="Heading1"/>
      </w:pPr>
      <w:bookmarkStart w:id="32" w:name="_Toc332110621"/>
      <w:r w:rsidRPr="00DD1E9D">
        <w:lastRenderedPageBreak/>
        <w:t>Action Items</w:t>
      </w:r>
      <w:bookmarkEnd w:id="32"/>
    </w:p>
    <w:tbl>
      <w:tblPr>
        <w:tblW w:w="92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52"/>
        <w:gridCol w:w="3222"/>
        <w:gridCol w:w="2106"/>
        <w:gridCol w:w="2790"/>
      </w:tblGrid>
      <w:tr w:rsidR="00436032" w:rsidRPr="00DD1E9D" w:rsidTr="003A183F">
        <w:trPr>
          <w:tblHeader/>
        </w:trPr>
        <w:tc>
          <w:tcPr>
            <w:tcW w:w="1152" w:type="dxa"/>
            <w:shd w:val="clear" w:color="auto" w:fill="E6E6E6"/>
          </w:tcPr>
          <w:p w:rsidR="00436032" w:rsidRPr="00DD1E9D" w:rsidRDefault="00436032" w:rsidP="003A183F">
            <w:pPr>
              <w:pStyle w:val="TableHead"/>
            </w:pPr>
            <w:r w:rsidRPr="00DD1E9D">
              <w:t>Task</w:t>
            </w:r>
          </w:p>
        </w:tc>
        <w:tc>
          <w:tcPr>
            <w:tcW w:w="3222" w:type="dxa"/>
            <w:shd w:val="clear" w:color="auto" w:fill="E6E6E6"/>
          </w:tcPr>
          <w:p w:rsidR="00436032" w:rsidRPr="00DD1E9D" w:rsidRDefault="00436032" w:rsidP="003A183F">
            <w:pPr>
              <w:pStyle w:val="TableHead"/>
            </w:pPr>
            <w:r w:rsidRPr="00DD1E9D">
              <w:t>Description</w:t>
            </w:r>
          </w:p>
        </w:tc>
        <w:tc>
          <w:tcPr>
            <w:tcW w:w="2106" w:type="dxa"/>
            <w:shd w:val="clear" w:color="auto" w:fill="E6E6E6"/>
          </w:tcPr>
          <w:p w:rsidR="00436032" w:rsidRPr="00DD1E9D" w:rsidRDefault="00436032" w:rsidP="003A183F">
            <w:pPr>
              <w:pStyle w:val="TableHead"/>
            </w:pPr>
            <w:r w:rsidRPr="00DD1E9D">
              <w:t>Assigned To</w:t>
            </w:r>
          </w:p>
        </w:tc>
        <w:tc>
          <w:tcPr>
            <w:tcW w:w="2790" w:type="dxa"/>
            <w:shd w:val="clear" w:color="auto" w:fill="E6E6E6"/>
          </w:tcPr>
          <w:p w:rsidR="00436032" w:rsidRPr="00DD1E9D" w:rsidRDefault="00436032" w:rsidP="003A183F">
            <w:pPr>
              <w:pStyle w:val="TableHead"/>
            </w:pPr>
            <w:r w:rsidRPr="00DD1E9D">
              <w:t>Due Date</w:t>
            </w:r>
          </w:p>
        </w:tc>
      </w:tr>
      <w:tr w:rsidR="00436032" w:rsidRPr="00831F3C" w:rsidTr="003A183F">
        <w:tc>
          <w:tcPr>
            <w:tcW w:w="1152" w:type="dxa"/>
          </w:tcPr>
          <w:p w:rsidR="00436032" w:rsidRPr="00DD1E9D" w:rsidRDefault="00436032" w:rsidP="003A183F">
            <w:pPr>
              <w:pStyle w:val="TableText"/>
            </w:pPr>
            <w:r w:rsidRPr="00DD1E9D">
              <w:t>1</w:t>
            </w:r>
          </w:p>
        </w:tc>
        <w:tc>
          <w:tcPr>
            <w:tcW w:w="3222" w:type="dxa"/>
          </w:tcPr>
          <w:p w:rsidR="00436032" w:rsidRPr="00DD1E9D" w:rsidRDefault="00436032" w:rsidP="003A183F">
            <w:pPr>
              <w:pStyle w:val="TableText"/>
            </w:pPr>
            <w:r w:rsidRPr="00DD1E9D">
              <w:t>Send links to group for CDA Consolidation DSTU and S&amp;I Framework Patient Assessment Summary SWG</w:t>
            </w:r>
          </w:p>
        </w:tc>
        <w:tc>
          <w:tcPr>
            <w:tcW w:w="2106" w:type="dxa"/>
          </w:tcPr>
          <w:p w:rsidR="00436032" w:rsidRPr="00DD1E9D" w:rsidRDefault="00436032" w:rsidP="003A183F">
            <w:pPr>
              <w:pStyle w:val="TableText"/>
            </w:pPr>
            <w:r w:rsidRPr="00DD1E9D">
              <w:t>Brett Marquard</w:t>
            </w:r>
          </w:p>
        </w:tc>
        <w:tc>
          <w:tcPr>
            <w:tcW w:w="2790" w:type="dxa"/>
          </w:tcPr>
          <w:p w:rsidR="00436032" w:rsidRPr="006279E7" w:rsidRDefault="0096463E" w:rsidP="003A183F">
            <w:pPr>
              <w:pStyle w:val="TableText"/>
            </w:pPr>
            <w:r>
              <w:t>C</w:t>
            </w:r>
            <w:r w:rsidR="00BA0B2C">
              <w:t>ompleted</w:t>
            </w:r>
          </w:p>
        </w:tc>
      </w:tr>
      <w:tr w:rsidR="007336C3" w:rsidRPr="00831F3C" w:rsidTr="003A183F">
        <w:tc>
          <w:tcPr>
            <w:tcW w:w="1152" w:type="dxa"/>
          </w:tcPr>
          <w:p w:rsidR="007336C3" w:rsidRPr="00DD1E9D" w:rsidRDefault="007336C3" w:rsidP="003A183F">
            <w:pPr>
              <w:pStyle w:val="TableText"/>
            </w:pPr>
            <w:r>
              <w:t>2</w:t>
            </w:r>
          </w:p>
        </w:tc>
        <w:tc>
          <w:tcPr>
            <w:tcW w:w="3222" w:type="dxa"/>
          </w:tcPr>
          <w:p w:rsidR="007336C3" w:rsidRPr="00DD1E9D" w:rsidRDefault="007336C3" w:rsidP="003A183F">
            <w:pPr>
              <w:pStyle w:val="TableText"/>
            </w:pPr>
            <w:r>
              <w:t>Contact eQuality CARE team if interested in being interviewed for work flow report</w:t>
            </w:r>
          </w:p>
        </w:tc>
        <w:tc>
          <w:tcPr>
            <w:tcW w:w="2106" w:type="dxa"/>
          </w:tcPr>
          <w:p w:rsidR="007336C3" w:rsidRPr="00DD1E9D" w:rsidRDefault="007336C3" w:rsidP="003A183F">
            <w:pPr>
              <w:pStyle w:val="TableText"/>
            </w:pPr>
            <w:r>
              <w:t>All TEP members</w:t>
            </w:r>
          </w:p>
        </w:tc>
        <w:tc>
          <w:tcPr>
            <w:tcW w:w="2790" w:type="dxa"/>
          </w:tcPr>
          <w:p w:rsidR="007336C3" w:rsidRDefault="007336C3" w:rsidP="003A183F">
            <w:pPr>
              <w:pStyle w:val="TableText"/>
            </w:pPr>
            <w:r>
              <w:t>7/1/2012</w:t>
            </w:r>
          </w:p>
        </w:tc>
      </w:tr>
    </w:tbl>
    <w:p w:rsidR="00436032" w:rsidRDefault="00436032" w:rsidP="00436032">
      <w:pPr>
        <w:pStyle w:val="Heading1"/>
      </w:pPr>
      <w:bookmarkStart w:id="33" w:name="_Toc332110622"/>
      <w:r>
        <w:t>List of Acronyms and Abbreviations</w:t>
      </w:r>
      <w:bookmarkEnd w:id="33"/>
    </w:p>
    <w:p w:rsidR="006C38E1" w:rsidRDefault="006C38E1" w:rsidP="00436032">
      <w:pPr>
        <w:pStyle w:val="acronyms"/>
      </w:pPr>
      <w:r>
        <w:t>ACH</w:t>
      </w:r>
      <w:r>
        <w:tab/>
        <w:t>Acute care hospital</w:t>
      </w:r>
    </w:p>
    <w:p w:rsidR="00436032" w:rsidRDefault="00436032" w:rsidP="00436032">
      <w:pPr>
        <w:pStyle w:val="acronyms"/>
        <w:rPr>
          <w:b/>
          <w:bCs/>
        </w:rPr>
      </w:pPr>
      <w:r>
        <w:t>APU</w:t>
      </w:r>
      <w:r>
        <w:tab/>
        <w:t>Annual Payment Update</w:t>
      </w:r>
    </w:p>
    <w:p w:rsidR="00436032" w:rsidRDefault="00436032" w:rsidP="00436032">
      <w:pPr>
        <w:pStyle w:val="acronyms"/>
        <w:rPr>
          <w:b/>
          <w:bCs/>
        </w:rPr>
      </w:pPr>
      <w:r>
        <w:t>BIM</w:t>
      </w:r>
      <w:r>
        <w:tab/>
        <w:t>Brief Interview for Mental Status</w:t>
      </w:r>
      <w:r w:rsidR="007336C3">
        <w:tab/>
      </w:r>
    </w:p>
    <w:p w:rsidR="00436032" w:rsidRDefault="00436032" w:rsidP="00436032">
      <w:pPr>
        <w:pStyle w:val="acronyms"/>
        <w:rPr>
          <w:b/>
          <w:bCs/>
        </w:rPr>
      </w:pPr>
      <w:r>
        <w:t>CAM</w:t>
      </w:r>
      <w:r>
        <w:tab/>
        <w:t>Confusion Assessment Method</w:t>
      </w:r>
    </w:p>
    <w:p w:rsidR="00436032" w:rsidRDefault="00436032" w:rsidP="00436032">
      <w:pPr>
        <w:pStyle w:val="acronyms"/>
      </w:pPr>
      <w:r>
        <w:t>CARE</w:t>
      </w:r>
      <w:r>
        <w:tab/>
        <w:t>Continuity Assessment Record and Evaluation</w:t>
      </w:r>
    </w:p>
    <w:p w:rsidR="006C38E1" w:rsidRDefault="006C38E1" w:rsidP="00436032">
      <w:pPr>
        <w:pStyle w:val="acronyms"/>
        <w:rPr>
          <w:b/>
          <w:bCs/>
        </w:rPr>
      </w:pPr>
      <w:r>
        <w:t>CCD</w:t>
      </w:r>
      <w:r>
        <w:tab/>
        <w:t>Continuity of Care Document</w:t>
      </w:r>
    </w:p>
    <w:p w:rsidR="00436032" w:rsidRPr="00084909" w:rsidRDefault="00436032" w:rsidP="00436032">
      <w:pPr>
        <w:pStyle w:val="acronyms"/>
        <w:rPr>
          <w:b/>
          <w:bCs/>
        </w:rPr>
      </w:pPr>
      <w:r w:rsidRPr="00084909">
        <w:t>CDA</w:t>
      </w:r>
      <w:r w:rsidRPr="00084909">
        <w:tab/>
        <w:t>Clinical Document Architecture</w:t>
      </w:r>
    </w:p>
    <w:p w:rsidR="00436032" w:rsidRPr="00084909" w:rsidRDefault="00436032" w:rsidP="00436032">
      <w:pPr>
        <w:pStyle w:val="acronyms"/>
        <w:rPr>
          <w:b/>
          <w:bCs/>
        </w:rPr>
      </w:pPr>
      <w:r w:rsidRPr="00084909">
        <w:t>CMS</w:t>
      </w:r>
      <w:r w:rsidRPr="00084909">
        <w:tab/>
        <w:t>The Centers for Medicare &amp; Medicaid Services</w:t>
      </w:r>
    </w:p>
    <w:p w:rsidR="00436032" w:rsidRPr="00084909" w:rsidRDefault="00436032" w:rsidP="00436032">
      <w:pPr>
        <w:pStyle w:val="acronyms"/>
        <w:rPr>
          <w:b/>
          <w:bCs/>
        </w:rPr>
      </w:pPr>
      <w:r w:rsidRPr="00084909">
        <w:t>DSTU</w:t>
      </w:r>
      <w:r w:rsidRPr="00084909">
        <w:tab/>
        <w:t>Draft Standard for Trial Use</w:t>
      </w:r>
    </w:p>
    <w:p w:rsidR="00436032" w:rsidRPr="00084909" w:rsidRDefault="00436032" w:rsidP="00436032">
      <w:pPr>
        <w:pStyle w:val="acronyms"/>
      </w:pPr>
      <w:r w:rsidRPr="00084909">
        <w:t>EHR</w:t>
      </w:r>
      <w:r w:rsidRPr="00084909">
        <w:tab/>
        <w:t>Electronic health record</w:t>
      </w:r>
    </w:p>
    <w:p w:rsidR="00436032" w:rsidRPr="00084909" w:rsidRDefault="00436032" w:rsidP="00436032">
      <w:pPr>
        <w:pStyle w:val="acronyms"/>
        <w:rPr>
          <w:b/>
          <w:bCs/>
        </w:rPr>
      </w:pPr>
      <w:r w:rsidRPr="00084909">
        <w:t>HIE</w:t>
      </w:r>
      <w:r w:rsidRPr="00084909">
        <w:tab/>
        <w:t>Health Information Exchange</w:t>
      </w:r>
    </w:p>
    <w:p w:rsidR="00436032" w:rsidRPr="00084909" w:rsidRDefault="00436032" w:rsidP="00436032">
      <w:pPr>
        <w:pStyle w:val="acronyms"/>
        <w:rPr>
          <w:b/>
          <w:bCs/>
        </w:rPr>
      </w:pPr>
      <w:r w:rsidRPr="00084909">
        <w:t>HITSC</w:t>
      </w:r>
      <w:r w:rsidRPr="00084909">
        <w:tab/>
        <w:t>Health Information Technology Standards Committee</w:t>
      </w:r>
    </w:p>
    <w:p w:rsidR="00436032" w:rsidRPr="00084909" w:rsidRDefault="00436032" w:rsidP="00436032">
      <w:pPr>
        <w:pStyle w:val="acronyms"/>
        <w:rPr>
          <w:b/>
          <w:bCs/>
        </w:rPr>
      </w:pPr>
      <w:r w:rsidRPr="00084909">
        <w:t>HL7</w:t>
      </w:r>
      <w:r w:rsidRPr="00084909">
        <w:tab/>
        <w:t>Health Level Seven</w:t>
      </w:r>
    </w:p>
    <w:p w:rsidR="00436032" w:rsidRPr="00084909" w:rsidRDefault="00436032" w:rsidP="00436032">
      <w:pPr>
        <w:pStyle w:val="acronyms"/>
        <w:rPr>
          <w:b/>
          <w:bCs/>
        </w:rPr>
      </w:pPr>
      <w:r w:rsidRPr="00084909">
        <w:t>IG</w:t>
      </w:r>
      <w:r w:rsidRPr="00084909">
        <w:tab/>
        <w:t>Implementation Guide</w:t>
      </w:r>
    </w:p>
    <w:p w:rsidR="00436032" w:rsidRPr="00084909" w:rsidRDefault="00436032" w:rsidP="00436032">
      <w:pPr>
        <w:pStyle w:val="acronyms"/>
      </w:pPr>
      <w:r w:rsidRPr="00084909">
        <w:t>IRF-PAI</w:t>
      </w:r>
      <w:r w:rsidRPr="00084909">
        <w:tab/>
        <w:t>Inpatient Rehabilitation Facilities-Patient Assessment Instrument</w:t>
      </w:r>
    </w:p>
    <w:p w:rsidR="00436032" w:rsidRPr="00084909" w:rsidRDefault="00436032" w:rsidP="00436032">
      <w:pPr>
        <w:pStyle w:val="acronyms"/>
        <w:rPr>
          <w:b/>
          <w:bCs/>
        </w:rPr>
      </w:pPr>
      <w:r w:rsidRPr="00084909">
        <w:t>LCC</w:t>
      </w:r>
      <w:r w:rsidRPr="00084909">
        <w:tab/>
        <w:t>Longitudinal Coordination of Care</w:t>
      </w:r>
    </w:p>
    <w:p w:rsidR="00436032" w:rsidRPr="00084909" w:rsidRDefault="00436032" w:rsidP="00436032">
      <w:pPr>
        <w:pStyle w:val="acronyms"/>
        <w:rPr>
          <w:b/>
          <w:bCs/>
        </w:rPr>
      </w:pPr>
      <w:r w:rsidRPr="00084909">
        <w:t>LTC</w:t>
      </w:r>
      <w:r w:rsidRPr="00084909">
        <w:tab/>
        <w:t>Long Term Care</w:t>
      </w:r>
    </w:p>
    <w:p w:rsidR="00436032" w:rsidRPr="00084909" w:rsidRDefault="00436032" w:rsidP="00436032">
      <w:pPr>
        <w:pStyle w:val="acronyms"/>
      </w:pPr>
      <w:r w:rsidRPr="00084909">
        <w:t>LTCH</w:t>
      </w:r>
      <w:r w:rsidRPr="00084909">
        <w:tab/>
        <w:t>Long term care hospitals</w:t>
      </w:r>
    </w:p>
    <w:p w:rsidR="00436032" w:rsidRPr="00084909" w:rsidRDefault="00436032" w:rsidP="00436032">
      <w:pPr>
        <w:pStyle w:val="acronyms"/>
        <w:rPr>
          <w:b/>
          <w:bCs/>
        </w:rPr>
      </w:pPr>
      <w:r w:rsidRPr="00084909">
        <w:t>MDS</w:t>
      </w:r>
      <w:r w:rsidRPr="00084909">
        <w:tab/>
        <w:t>Minimum Data Set</w:t>
      </w:r>
    </w:p>
    <w:p w:rsidR="00436032" w:rsidRPr="00084909" w:rsidRDefault="00436032" w:rsidP="00436032">
      <w:pPr>
        <w:pStyle w:val="acronyms"/>
        <w:rPr>
          <w:b/>
          <w:bCs/>
        </w:rPr>
      </w:pPr>
      <w:r w:rsidRPr="00084909">
        <w:t>NCQA</w:t>
      </w:r>
      <w:r w:rsidRPr="00084909">
        <w:tab/>
        <w:t>National Committee for Quality Assurance</w:t>
      </w:r>
    </w:p>
    <w:p w:rsidR="00436032" w:rsidRPr="00084909" w:rsidRDefault="00436032" w:rsidP="00436032">
      <w:pPr>
        <w:pStyle w:val="acronyms"/>
        <w:rPr>
          <w:b/>
          <w:bCs/>
        </w:rPr>
      </w:pPr>
      <w:r w:rsidRPr="00084909">
        <w:t>NQF</w:t>
      </w:r>
      <w:r w:rsidRPr="00084909">
        <w:tab/>
        <w:t>National Quality Forum</w:t>
      </w:r>
    </w:p>
    <w:p w:rsidR="00436032" w:rsidRPr="00084909" w:rsidRDefault="00436032" w:rsidP="00436032">
      <w:pPr>
        <w:pStyle w:val="acronyms"/>
        <w:rPr>
          <w:b/>
          <w:bCs/>
        </w:rPr>
      </w:pPr>
      <w:r w:rsidRPr="00084909">
        <w:t>OASIS</w:t>
      </w:r>
      <w:r w:rsidRPr="00084909">
        <w:tab/>
        <w:t>Outcome &amp; Assessment Information Set</w:t>
      </w:r>
    </w:p>
    <w:p w:rsidR="00436032" w:rsidRPr="00084909" w:rsidRDefault="00436032" w:rsidP="00436032">
      <w:pPr>
        <w:pStyle w:val="acronyms"/>
      </w:pPr>
      <w:r w:rsidRPr="00084909">
        <w:t>ONC</w:t>
      </w:r>
      <w:r w:rsidRPr="00084909">
        <w:tab/>
        <w:t>Office of the National Coordinator</w:t>
      </w:r>
    </w:p>
    <w:p w:rsidR="00436032" w:rsidRPr="00084909" w:rsidRDefault="00436032" w:rsidP="00436032">
      <w:pPr>
        <w:pStyle w:val="acronyms"/>
        <w:rPr>
          <w:b/>
          <w:bCs/>
        </w:rPr>
      </w:pPr>
      <w:r w:rsidRPr="00084909">
        <w:t>PAC</w:t>
      </w:r>
      <w:r w:rsidRPr="00084909">
        <w:tab/>
        <w:t>Post-Acute Care</w:t>
      </w:r>
    </w:p>
    <w:p w:rsidR="0013592A" w:rsidRDefault="0013592A" w:rsidP="00436032">
      <w:pPr>
        <w:pStyle w:val="acronyms"/>
      </w:pPr>
      <w:r>
        <w:lastRenderedPageBreak/>
        <w:t>PAS SWG</w:t>
      </w:r>
      <w:r>
        <w:tab/>
        <w:t>Patient Assessment Summary Sub Work Group</w:t>
      </w:r>
    </w:p>
    <w:p w:rsidR="00436032" w:rsidRPr="00084909" w:rsidRDefault="00436032" w:rsidP="00436032">
      <w:pPr>
        <w:pStyle w:val="acronyms"/>
        <w:rPr>
          <w:b/>
          <w:bCs/>
        </w:rPr>
      </w:pPr>
      <w:r w:rsidRPr="00084909">
        <w:t>QDM</w:t>
      </w:r>
      <w:r w:rsidRPr="00084909">
        <w:tab/>
        <w:t>Quality Data Model</w:t>
      </w:r>
    </w:p>
    <w:p w:rsidR="00436032" w:rsidRPr="00084909" w:rsidRDefault="00436032" w:rsidP="00436032">
      <w:pPr>
        <w:pStyle w:val="acronyms"/>
        <w:rPr>
          <w:b/>
          <w:bCs/>
        </w:rPr>
      </w:pPr>
      <w:r w:rsidRPr="00084909">
        <w:t>RTI</w:t>
      </w:r>
      <w:r w:rsidRPr="00084909">
        <w:tab/>
        <w:t>Research Triangle Institute</w:t>
      </w:r>
    </w:p>
    <w:p w:rsidR="00436032" w:rsidRPr="00084909" w:rsidRDefault="00436032" w:rsidP="00436032">
      <w:pPr>
        <w:pStyle w:val="acronyms"/>
        <w:rPr>
          <w:b/>
          <w:bCs/>
        </w:rPr>
      </w:pPr>
      <w:r w:rsidRPr="00084909">
        <w:t>S&amp;I</w:t>
      </w:r>
      <w:r w:rsidRPr="00084909">
        <w:tab/>
        <w:t>Standards and Interoperability</w:t>
      </w:r>
    </w:p>
    <w:p w:rsidR="00436032" w:rsidRPr="00084909" w:rsidRDefault="00436032" w:rsidP="00436032">
      <w:pPr>
        <w:pStyle w:val="acronyms"/>
        <w:rPr>
          <w:b/>
          <w:bCs/>
        </w:rPr>
      </w:pPr>
      <w:r w:rsidRPr="00084909">
        <w:t>SDWG</w:t>
      </w:r>
      <w:r w:rsidRPr="00084909">
        <w:tab/>
        <w:t>Structured Documents Work Group</w:t>
      </w:r>
    </w:p>
    <w:p w:rsidR="00436032" w:rsidRPr="00084909" w:rsidRDefault="00436032" w:rsidP="00436032">
      <w:pPr>
        <w:pStyle w:val="acronyms"/>
        <w:rPr>
          <w:b/>
          <w:bCs/>
        </w:rPr>
      </w:pPr>
      <w:r w:rsidRPr="00084909">
        <w:t>SNF</w:t>
      </w:r>
      <w:r w:rsidRPr="00084909">
        <w:tab/>
        <w:t>Skilled Nursing Facility</w:t>
      </w:r>
    </w:p>
    <w:p w:rsidR="00E00976" w:rsidRDefault="00436032" w:rsidP="0096463E">
      <w:pPr>
        <w:pStyle w:val="acronyms"/>
      </w:pPr>
      <w:r w:rsidRPr="00084909">
        <w:t>TEP</w:t>
      </w:r>
      <w:r w:rsidRPr="00084909">
        <w:tab/>
        <w:t>Technical Expert Panel</w:t>
      </w:r>
      <w:bookmarkEnd w:id="12"/>
      <w:bookmarkEnd w:id="13"/>
      <w:bookmarkEnd w:id="14"/>
      <w:bookmarkEnd w:id="15"/>
      <w:bookmarkEnd w:id="16"/>
      <w:bookmarkEnd w:id="17"/>
      <w:bookmarkEnd w:id="18"/>
      <w:bookmarkEnd w:id="19"/>
    </w:p>
    <w:sectPr w:rsidR="00E00976" w:rsidSect="00436032">
      <w:footerReference w:type="default" r:id="rId14"/>
      <w:pgSz w:w="12240" w:h="15840" w:code="1"/>
      <w:pgMar w:top="1440" w:right="1800" w:bottom="1800"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D69" w:rsidRDefault="002A2D69" w:rsidP="006C048C">
      <w:r>
        <w:separator/>
      </w:r>
    </w:p>
  </w:endnote>
  <w:endnote w:type="continuationSeparator" w:id="0">
    <w:p w:rsidR="002A2D69" w:rsidRDefault="002A2D69" w:rsidP="006C04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C59" w:rsidRPr="00D920D5" w:rsidRDefault="00335C59" w:rsidP="003A183F">
    <w:pPr>
      <w:pStyle w:val="Footer"/>
    </w:pPr>
    <w:r>
      <w:rPr>
        <w:lang w:eastAsia="en-US"/>
      </w:rPr>
      <w:drawing>
        <wp:anchor distT="0" distB="0" distL="114300" distR="114300" simplePos="0" relativeHeight="251659264" behindDoc="1" locked="0" layoutInCell="1" allowOverlap="1">
          <wp:simplePos x="0" y="0"/>
          <wp:positionH relativeFrom="column">
            <wp:posOffset>-55245</wp:posOffset>
          </wp:positionH>
          <wp:positionV relativeFrom="paragraph">
            <wp:posOffset>-103505</wp:posOffset>
          </wp:positionV>
          <wp:extent cx="6357620" cy="61595"/>
          <wp:effectExtent l="19050" t="0" r="5080" b="0"/>
          <wp:wrapTight wrapText="bothSides">
            <wp:wrapPolygon edited="0">
              <wp:start x="-65" y="0"/>
              <wp:lineTo x="-65" y="13361"/>
              <wp:lineTo x="21617" y="13361"/>
              <wp:lineTo x="21617" y="0"/>
              <wp:lineTo x="-65" y="0"/>
            </wp:wrapPolygon>
          </wp:wrapTight>
          <wp:docPr id="1" name="Picture 6" descr="decorative footer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corative footer line"/>
                  <pic:cNvPicPr>
                    <a:picLocks noChangeAspect="1" noChangeArrowheads="1"/>
                  </pic:cNvPicPr>
                </pic:nvPicPr>
                <pic:blipFill>
                  <a:blip r:embed="rId1"/>
                  <a:srcRect/>
                  <a:stretch>
                    <a:fillRect/>
                  </a:stretch>
                </pic:blipFill>
                <pic:spPr bwMode="auto">
                  <a:xfrm>
                    <a:off x="0" y="0"/>
                    <a:ext cx="6357620" cy="61595"/>
                  </a:xfrm>
                  <a:prstGeom prst="rect">
                    <a:avLst/>
                  </a:prstGeom>
                  <a:noFill/>
                  <a:ln w="9525">
                    <a:noFill/>
                    <a:miter lim="800000"/>
                    <a:headEnd/>
                    <a:tailEnd/>
                  </a:ln>
                </pic:spPr>
              </pic:pic>
            </a:graphicData>
          </a:graphic>
        </wp:anchor>
      </w:drawing>
    </w:r>
    <w:r w:rsidRPr="00C530A5">
      <w:t>Lantana Consulting Group</w:t>
    </w:r>
    <w:r w:rsidRPr="00C530A5">
      <w:tab/>
    </w:r>
    <w:r>
      <w:t>Task 4C</w:t>
    </w:r>
    <w:r>
      <w:tab/>
      <w:t xml:space="preserve">Juliy </w:t>
    </w:r>
    <w:r w:rsidRPr="0001301F">
      <w:t>201</w:t>
    </w:r>
    <w:r>
      <w:t>2</w:t>
    </w:r>
  </w:p>
  <w:p w:rsidR="00335C59" w:rsidRDefault="00335C59" w:rsidP="003A183F">
    <w:pPr>
      <w:pStyle w:val="Footer"/>
    </w:pPr>
    <w:r w:rsidRPr="00C530A5">
      <w:sym w:font="Symbol" w:char="F0D3"/>
    </w:r>
    <w:r>
      <w:t xml:space="preserve"> 2012, all rights reserved</w:t>
    </w:r>
    <w:r>
      <w:tab/>
      <w:t>CARE TEP Report — 2nd Meeting</w:t>
    </w:r>
    <w:r>
      <w:tab/>
    </w:r>
    <w:r w:rsidRPr="00DB5DB8">
      <w:t xml:space="preserve">Page </w:t>
    </w:r>
    <w:r w:rsidR="000047DA">
      <w:fldChar w:fldCharType="begin"/>
    </w:r>
    <w:r>
      <w:instrText xml:space="preserve"> PAGE </w:instrText>
    </w:r>
    <w:r w:rsidR="000047DA">
      <w:fldChar w:fldCharType="separate"/>
    </w:r>
    <w:r w:rsidR="009E7B6B">
      <w:t>11</w:t>
    </w:r>
    <w:r w:rsidR="000047DA">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D69" w:rsidRDefault="002A2D69" w:rsidP="006C048C">
      <w:r>
        <w:separator/>
      </w:r>
    </w:p>
  </w:footnote>
  <w:footnote w:type="continuationSeparator" w:id="0">
    <w:p w:rsidR="002A2D69" w:rsidRDefault="002A2D69" w:rsidP="006C048C">
      <w:r>
        <w:continuationSeparator/>
      </w:r>
    </w:p>
  </w:footnote>
  <w:footnote w:id="1">
    <w:p w:rsidR="00335C59" w:rsidRDefault="00335C59">
      <w:pPr>
        <w:pStyle w:val="FootnoteText"/>
      </w:pPr>
      <w:r>
        <w:rPr>
          <w:rStyle w:val="FootnoteReference"/>
        </w:rPr>
        <w:footnoteRef/>
      </w:r>
      <w:r>
        <w:t xml:space="preserve"> </w:t>
      </w:r>
      <w:hyperlink r:id="rId1" w:history="1">
        <w:r w:rsidRPr="001E73B3">
          <w:rPr>
            <w:rStyle w:val="Hyperlink"/>
            <w:sz w:val="20"/>
          </w:rPr>
          <w:t>http://healthit.hhs.gov/media/faca/MU_RFC%20_2011-01-12_final.pdf</w:t>
        </w:r>
      </w:hyperlink>
    </w:p>
  </w:footnote>
  <w:footnote w:id="2">
    <w:p w:rsidR="00335C59" w:rsidRDefault="00335C59">
      <w:pPr>
        <w:pStyle w:val="FootnoteText"/>
      </w:pPr>
      <w:r>
        <w:rPr>
          <w:rStyle w:val="FootnoteReference"/>
        </w:rPr>
        <w:footnoteRef/>
      </w:r>
      <w:r>
        <w:t xml:space="preserve"> </w:t>
      </w:r>
      <w:r w:rsidRPr="00C40197">
        <w:rPr>
          <w:sz w:val="18"/>
          <w:szCs w:val="18"/>
        </w:rPr>
        <w:t>Federal Register, Vol. 77, No. 45, Wednesday, March 7, 2012/ Proposed Rule,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3DE4A93E"/>
    <w:lvl w:ilvl="0">
      <w:start w:val="1"/>
      <w:numFmt w:val="decimal"/>
      <w:pStyle w:val="ListNumber2"/>
      <w:lvlText w:val="%1."/>
      <w:lvlJc w:val="left"/>
      <w:pPr>
        <w:tabs>
          <w:tab w:val="num" w:pos="720"/>
        </w:tabs>
        <w:ind w:left="720" w:hanging="360"/>
      </w:pPr>
    </w:lvl>
  </w:abstractNum>
  <w:abstractNum w:abstractNumId="1">
    <w:nsid w:val="FFFFFF83"/>
    <w:multiLevelType w:val="singleLevel"/>
    <w:tmpl w:val="B7B06E42"/>
    <w:lvl w:ilvl="0">
      <w:start w:val="1"/>
      <w:numFmt w:val="bullet"/>
      <w:lvlText w:val=""/>
      <w:lvlJc w:val="left"/>
      <w:pPr>
        <w:tabs>
          <w:tab w:val="num" w:pos="720"/>
        </w:tabs>
        <w:ind w:left="720" w:hanging="360"/>
      </w:pPr>
      <w:rPr>
        <w:rFonts w:ascii="Symbol" w:hAnsi="Symbol" w:hint="default"/>
      </w:rPr>
    </w:lvl>
  </w:abstractNum>
  <w:abstractNum w:abstractNumId="2">
    <w:nsid w:val="FFFFFF89"/>
    <w:multiLevelType w:val="singleLevel"/>
    <w:tmpl w:val="EA2AD658"/>
    <w:lvl w:ilvl="0">
      <w:start w:val="1"/>
      <w:numFmt w:val="bullet"/>
      <w:lvlText w:val=""/>
      <w:lvlJc w:val="left"/>
      <w:pPr>
        <w:tabs>
          <w:tab w:val="num" w:pos="360"/>
        </w:tabs>
        <w:ind w:left="360" w:hanging="360"/>
      </w:pPr>
      <w:rPr>
        <w:rFonts w:ascii="Symbol" w:hAnsi="Symbol" w:hint="default"/>
      </w:rPr>
    </w:lvl>
  </w:abstractNum>
  <w:abstractNum w:abstractNumId="3">
    <w:nsid w:val="50505564"/>
    <w:multiLevelType w:val="hybridMultilevel"/>
    <w:tmpl w:val="83A6DF96"/>
    <w:lvl w:ilvl="0" w:tplc="CCBA7CAE">
      <w:start w:val="1"/>
      <w:numFmt w:val="bullet"/>
      <w:pStyle w:val="List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
    <w:nsid w:val="57AC21A8"/>
    <w:multiLevelType w:val="hybridMultilevel"/>
    <w:tmpl w:val="5B6A5686"/>
    <w:lvl w:ilvl="0" w:tplc="21BC77BC">
      <w:start w:val="1"/>
      <w:numFmt w:val="bullet"/>
      <w:lvlText w:val=""/>
      <w:lvlJc w:val="left"/>
      <w:pPr>
        <w:ind w:left="720" w:hanging="360"/>
      </w:pPr>
      <w:rPr>
        <w:rFonts w:ascii="Symbol" w:hAnsi="Symbol" w:hint="default"/>
      </w:rPr>
    </w:lvl>
    <w:lvl w:ilvl="1" w:tplc="04090003">
      <w:start w:val="1"/>
      <w:numFmt w:val="bullet"/>
      <w:pStyle w:val="ListBullet2"/>
      <w:lvlText w:val="o"/>
      <w:lvlJc w:val="left"/>
      <w:pPr>
        <w:ind w:left="1440" w:hanging="360"/>
      </w:pPr>
      <w:rPr>
        <w:rFonts w:ascii="Courier New" w:hAnsi="Courier New" w:hint="default"/>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
    <w:nsid w:val="692D295B"/>
    <w:multiLevelType w:val="hybridMultilevel"/>
    <w:tmpl w:val="7940F79C"/>
    <w:lvl w:ilvl="0" w:tplc="DECCC116">
      <w:start w:val="1"/>
      <w:numFmt w:val="bullet"/>
      <w:lvlText w:val="•"/>
      <w:lvlJc w:val="left"/>
      <w:pPr>
        <w:tabs>
          <w:tab w:val="num" w:pos="720"/>
        </w:tabs>
        <w:ind w:left="720" w:hanging="360"/>
      </w:pPr>
      <w:rPr>
        <w:rFonts w:ascii="Arial" w:hAnsi="Arial" w:hint="default"/>
      </w:rPr>
    </w:lvl>
    <w:lvl w:ilvl="1" w:tplc="F9C48DE0">
      <w:start w:val="1"/>
      <w:numFmt w:val="bullet"/>
      <w:lvlText w:val="•"/>
      <w:lvlJc w:val="left"/>
      <w:pPr>
        <w:tabs>
          <w:tab w:val="num" w:pos="1440"/>
        </w:tabs>
        <w:ind w:left="1440" w:hanging="360"/>
      </w:pPr>
      <w:rPr>
        <w:rFonts w:ascii="Arial" w:hAnsi="Arial" w:hint="default"/>
      </w:rPr>
    </w:lvl>
    <w:lvl w:ilvl="2" w:tplc="3A203696" w:tentative="1">
      <w:start w:val="1"/>
      <w:numFmt w:val="bullet"/>
      <w:lvlText w:val="•"/>
      <w:lvlJc w:val="left"/>
      <w:pPr>
        <w:tabs>
          <w:tab w:val="num" w:pos="2160"/>
        </w:tabs>
        <w:ind w:left="2160" w:hanging="360"/>
      </w:pPr>
      <w:rPr>
        <w:rFonts w:ascii="Arial" w:hAnsi="Arial" w:hint="default"/>
      </w:rPr>
    </w:lvl>
    <w:lvl w:ilvl="3" w:tplc="AB5A3276" w:tentative="1">
      <w:start w:val="1"/>
      <w:numFmt w:val="bullet"/>
      <w:lvlText w:val="•"/>
      <w:lvlJc w:val="left"/>
      <w:pPr>
        <w:tabs>
          <w:tab w:val="num" w:pos="2880"/>
        </w:tabs>
        <w:ind w:left="2880" w:hanging="360"/>
      </w:pPr>
      <w:rPr>
        <w:rFonts w:ascii="Arial" w:hAnsi="Arial" w:hint="default"/>
      </w:rPr>
    </w:lvl>
    <w:lvl w:ilvl="4" w:tplc="57888814" w:tentative="1">
      <w:start w:val="1"/>
      <w:numFmt w:val="bullet"/>
      <w:lvlText w:val="•"/>
      <w:lvlJc w:val="left"/>
      <w:pPr>
        <w:tabs>
          <w:tab w:val="num" w:pos="3600"/>
        </w:tabs>
        <w:ind w:left="3600" w:hanging="360"/>
      </w:pPr>
      <w:rPr>
        <w:rFonts w:ascii="Arial" w:hAnsi="Arial" w:hint="default"/>
      </w:rPr>
    </w:lvl>
    <w:lvl w:ilvl="5" w:tplc="CEB802BE" w:tentative="1">
      <w:start w:val="1"/>
      <w:numFmt w:val="bullet"/>
      <w:lvlText w:val="•"/>
      <w:lvlJc w:val="left"/>
      <w:pPr>
        <w:tabs>
          <w:tab w:val="num" w:pos="4320"/>
        </w:tabs>
        <w:ind w:left="4320" w:hanging="360"/>
      </w:pPr>
      <w:rPr>
        <w:rFonts w:ascii="Arial" w:hAnsi="Arial" w:hint="default"/>
      </w:rPr>
    </w:lvl>
    <w:lvl w:ilvl="6" w:tplc="B64055E2" w:tentative="1">
      <w:start w:val="1"/>
      <w:numFmt w:val="bullet"/>
      <w:lvlText w:val="•"/>
      <w:lvlJc w:val="left"/>
      <w:pPr>
        <w:tabs>
          <w:tab w:val="num" w:pos="5040"/>
        </w:tabs>
        <w:ind w:left="5040" w:hanging="360"/>
      </w:pPr>
      <w:rPr>
        <w:rFonts w:ascii="Arial" w:hAnsi="Arial" w:hint="default"/>
      </w:rPr>
    </w:lvl>
    <w:lvl w:ilvl="7" w:tplc="2A2EA34A" w:tentative="1">
      <w:start w:val="1"/>
      <w:numFmt w:val="bullet"/>
      <w:lvlText w:val="•"/>
      <w:lvlJc w:val="left"/>
      <w:pPr>
        <w:tabs>
          <w:tab w:val="num" w:pos="5760"/>
        </w:tabs>
        <w:ind w:left="5760" w:hanging="360"/>
      </w:pPr>
      <w:rPr>
        <w:rFonts w:ascii="Arial" w:hAnsi="Arial" w:hint="default"/>
      </w:rPr>
    </w:lvl>
    <w:lvl w:ilvl="8" w:tplc="DE5C2244"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0"/>
  </w:num>
  <w:num w:numId="4">
    <w:abstractNumId w:val="5"/>
  </w:num>
  <w:num w:numId="5">
    <w:abstractNumId w:val="2"/>
  </w:num>
  <w:num w:numId="6">
    <w:abstractNumId w:val="1"/>
  </w:num>
  <w:num w:numId="7">
    <w:abstractNumId w:val="3"/>
  </w:num>
  <w:num w:numId="8">
    <w:abstractNumId w:val="4"/>
  </w:num>
  <w:num w:numId="9">
    <w:abstractNumId w:val="3"/>
  </w:num>
  <w:num w:numId="10">
    <w:abstractNumId w:val="3"/>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hdrShapeDefaults>
    <o:shapedefaults v:ext="edit" spidmax="4098"/>
  </w:hdrShapeDefaults>
  <w:footnotePr>
    <w:footnote w:id="-1"/>
    <w:footnote w:id="0"/>
  </w:footnotePr>
  <w:endnotePr>
    <w:endnote w:id="-1"/>
    <w:endnote w:id="0"/>
  </w:endnotePr>
  <w:compat/>
  <w:docVars>
    <w:docVar w:name="MacDisableGlyphATSUI" w:val="0"/>
  </w:docVars>
  <w:rsids>
    <w:rsidRoot w:val="00436032"/>
    <w:rsid w:val="000047DA"/>
    <w:rsid w:val="00024712"/>
    <w:rsid w:val="00033FD8"/>
    <w:rsid w:val="00036989"/>
    <w:rsid w:val="0004418A"/>
    <w:rsid w:val="00046716"/>
    <w:rsid w:val="0004710F"/>
    <w:rsid w:val="00075408"/>
    <w:rsid w:val="00093463"/>
    <w:rsid w:val="000975F0"/>
    <w:rsid w:val="00097742"/>
    <w:rsid w:val="000B3E61"/>
    <w:rsid w:val="000D21CA"/>
    <w:rsid w:val="000F3DD5"/>
    <w:rsid w:val="0010778D"/>
    <w:rsid w:val="00116E01"/>
    <w:rsid w:val="0012791E"/>
    <w:rsid w:val="0013592A"/>
    <w:rsid w:val="00136D0D"/>
    <w:rsid w:val="00137475"/>
    <w:rsid w:val="00180362"/>
    <w:rsid w:val="00182152"/>
    <w:rsid w:val="00190D60"/>
    <w:rsid w:val="001953F1"/>
    <w:rsid w:val="001C45DD"/>
    <w:rsid w:val="001D343D"/>
    <w:rsid w:val="001E4F43"/>
    <w:rsid w:val="001E6AC9"/>
    <w:rsid w:val="001F3D71"/>
    <w:rsid w:val="002308F4"/>
    <w:rsid w:val="00255131"/>
    <w:rsid w:val="00265973"/>
    <w:rsid w:val="00292CA9"/>
    <w:rsid w:val="002A2D69"/>
    <w:rsid w:val="002A41BF"/>
    <w:rsid w:val="002D17F5"/>
    <w:rsid w:val="002D73C1"/>
    <w:rsid w:val="002E592C"/>
    <w:rsid w:val="00311AD6"/>
    <w:rsid w:val="00312A52"/>
    <w:rsid w:val="0031543E"/>
    <w:rsid w:val="00327C34"/>
    <w:rsid w:val="00335C59"/>
    <w:rsid w:val="00346092"/>
    <w:rsid w:val="00373D7C"/>
    <w:rsid w:val="00393B60"/>
    <w:rsid w:val="003961A6"/>
    <w:rsid w:val="00396D10"/>
    <w:rsid w:val="003A183F"/>
    <w:rsid w:val="003C7EF5"/>
    <w:rsid w:val="003E1FD3"/>
    <w:rsid w:val="003E2212"/>
    <w:rsid w:val="00414144"/>
    <w:rsid w:val="00436032"/>
    <w:rsid w:val="0044327E"/>
    <w:rsid w:val="00456061"/>
    <w:rsid w:val="00481405"/>
    <w:rsid w:val="00492556"/>
    <w:rsid w:val="004B1BAB"/>
    <w:rsid w:val="004C6E10"/>
    <w:rsid w:val="004D6EE8"/>
    <w:rsid w:val="005014D4"/>
    <w:rsid w:val="00501D5C"/>
    <w:rsid w:val="005360EE"/>
    <w:rsid w:val="00563A8A"/>
    <w:rsid w:val="005A2AD2"/>
    <w:rsid w:val="005B3E42"/>
    <w:rsid w:val="005D45A7"/>
    <w:rsid w:val="005E39E7"/>
    <w:rsid w:val="005F30DE"/>
    <w:rsid w:val="00605F8A"/>
    <w:rsid w:val="00607C26"/>
    <w:rsid w:val="00614C1C"/>
    <w:rsid w:val="00615688"/>
    <w:rsid w:val="00620A94"/>
    <w:rsid w:val="00626C58"/>
    <w:rsid w:val="00647BD9"/>
    <w:rsid w:val="00684155"/>
    <w:rsid w:val="006B1E84"/>
    <w:rsid w:val="006B4EA9"/>
    <w:rsid w:val="006B6E82"/>
    <w:rsid w:val="006C048C"/>
    <w:rsid w:val="006C38E1"/>
    <w:rsid w:val="006D2339"/>
    <w:rsid w:val="006D7F03"/>
    <w:rsid w:val="00700701"/>
    <w:rsid w:val="007045B8"/>
    <w:rsid w:val="007134DA"/>
    <w:rsid w:val="00722A80"/>
    <w:rsid w:val="00723977"/>
    <w:rsid w:val="007336C3"/>
    <w:rsid w:val="007861E9"/>
    <w:rsid w:val="00794887"/>
    <w:rsid w:val="00795440"/>
    <w:rsid w:val="007A54F8"/>
    <w:rsid w:val="007A701D"/>
    <w:rsid w:val="007B1917"/>
    <w:rsid w:val="007B1DD1"/>
    <w:rsid w:val="007B5E87"/>
    <w:rsid w:val="007C142C"/>
    <w:rsid w:val="007D5822"/>
    <w:rsid w:val="007E24AF"/>
    <w:rsid w:val="007F4743"/>
    <w:rsid w:val="007F7506"/>
    <w:rsid w:val="008019CD"/>
    <w:rsid w:val="0082021A"/>
    <w:rsid w:val="00850E4B"/>
    <w:rsid w:val="0085441B"/>
    <w:rsid w:val="008843AB"/>
    <w:rsid w:val="0089142E"/>
    <w:rsid w:val="008946F1"/>
    <w:rsid w:val="00896EC6"/>
    <w:rsid w:val="008A7779"/>
    <w:rsid w:val="008C4372"/>
    <w:rsid w:val="008D433E"/>
    <w:rsid w:val="008F7346"/>
    <w:rsid w:val="00914104"/>
    <w:rsid w:val="00915BB4"/>
    <w:rsid w:val="009309A0"/>
    <w:rsid w:val="00930D22"/>
    <w:rsid w:val="00945D1D"/>
    <w:rsid w:val="0095053D"/>
    <w:rsid w:val="00957B18"/>
    <w:rsid w:val="0096463E"/>
    <w:rsid w:val="009939CC"/>
    <w:rsid w:val="009A44BF"/>
    <w:rsid w:val="009B5B7E"/>
    <w:rsid w:val="009C09B7"/>
    <w:rsid w:val="009C3A13"/>
    <w:rsid w:val="009C5F1C"/>
    <w:rsid w:val="009D7DE9"/>
    <w:rsid w:val="009E653F"/>
    <w:rsid w:val="009E7B6B"/>
    <w:rsid w:val="009F3220"/>
    <w:rsid w:val="009F4601"/>
    <w:rsid w:val="009F6A93"/>
    <w:rsid w:val="00A11B0F"/>
    <w:rsid w:val="00A14D84"/>
    <w:rsid w:val="00A40EB0"/>
    <w:rsid w:val="00A41769"/>
    <w:rsid w:val="00A50E19"/>
    <w:rsid w:val="00A51F7B"/>
    <w:rsid w:val="00A5350F"/>
    <w:rsid w:val="00A5442C"/>
    <w:rsid w:val="00A640C4"/>
    <w:rsid w:val="00A712E1"/>
    <w:rsid w:val="00A71F2D"/>
    <w:rsid w:val="00A75E8B"/>
    <w:rsid w:val="00A76226"/>
    <w:rsid w:val="00A84B7D"/>
    <w:rsid w:val="00AA2308"/>
    <w:rsid w:val="00AA53EF"/>
    <w:rsid w:val="00AD6B49"/>
    <w:rsid w:val="00B1118D"/>
    <w:rsid w:val="00B123E2"/>
    <w:rsid w:val="00B22BC3"/>
    <w:rsid w:val="00B26641"/>
    <w:rsid w:val="00B611FF"/>
    <w:rsid w:val="00B613B4"/>
    <w:rsid w:val="00B6354D"/>
    <w:rsid w:val="00B6392A"/>
    <w:rsid w:val="00B702E4"/>
    <w:rsid w:val="00B82D75"/>
    <w:rsid w:val="00B85067"/>
    <w:rsid w:val="00B8790A"/>
    <w:rsid w:val="00B87E08"/>
    <w:rsid w:val="00BA0B2C"/>
    <w:rsid w:val="00BA2D8A"/>
    <w:rsid w:val="00BA4237"/>
    <w:rsid w:val="00BB3C67"/>
    <w:rsid w:val="00BD5A48"/>
    <w:rsid w:val="00BE3896"/>
    <w:rsid w:val="00BE6312"/>
    <w:rsid w:val="00BE78C9"/>
    <w:rsid w:val="00C03FF1"/>
    <w:rsid w:val="00C2603B"/>
    <w:rsid w:val="00C36D19"/>
    <w:rsid w:val="00C55513"/>
    <w:rsid w:val="00C922B8"/>
    <w:rsid w:val="00CA0131"/>
    <w:rsid w:val="00CB07C2"/>
    <w:rsid w:val="00CC2F3B"/>
    <w:rsid w:val="00CD6E8D"/>
    <w:rsid w:val="00CE5B70"/>
    <w:rsid w:val="00CE6D08"/>
    <w:rsid w:val="00CF18AD"/>
    <w:rsid w:val="00D13709"/>
    <w:rsid w:val="00D24495"/>
    <w:rsid w:val="00D41068"/>
    <w:rsid w:val="00D63CAD"/>
    <w:rsid w:val="00D7607D"/>
    <w:rsid w:val="00DA0D24"/>
    <w:rsid w:val="00DA17A0"/>
    <w:rsid w:val="00DA276F"/>
    <w:rsid w:val="00DB57CB"/>
    <w:rsid w:val="00E00976"/>
    <w:rsid w:val="00E01810"/>
    <w:rsid w:val="00E04046"/>
    <w:rsid w:val="00E51B59"/>
    <w:rsid w:val="00E5792B"/>
    <w:rsid w:val="00E64071"/>
    <w:rsid w:val="00E83534"/>
    <w:rsid w:val="00E97BA0"/>
    <w:rsid w:val="00EB5365"/>
    <w:rsid w:val="00EC310B"/>
    <w:rsid w:val="00EC4055"/>
    <w:rsid w:val="00EC747E"/>
    <w:rsid w:val="00EE0367"/>
    <w:rsid w:val="00EF3B42"/>
    <w:rsid w:val="00F02796"/>
    <w:rsid w:val="00F03376"/>
    <w:rsid w:val="00F26503"/>
    <w:rsid w:val="00F3361B"/>
    <w:rsid w:val="00F36F35"/>
    <w:rsid w:val="00F816F8"/>
    <w:rsid w:val="00F922B7"/>
    <w:rsid w:val="00FA2610"/>
    <w:rsid w:val="00FC1D6F"/>
    <w:rsid w:val="00FC624C"/>
    <w:rsid w:val="00FE65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032"/>
    <w:pPr>
      <w:spacing w:after="0" w:line="240" w:lineRule="auto"/>
    </w:pPr>
    <w:rPr>
      <w:rFonts w:ascii="Garamond" w:eastAsia="Times New Roman" w:hAnsi="Garamond" w:cs="Times New Roman"/>
      <w:szCs w:val="24"/>
    </w:rPr>
  </w:style>
  <w:style w:type="paragraph" w:styleId="Heading1">
    <w:name w:val="heading 1"/>
    <w:basedOn w:val="Normal"/>
    <w:next w:val="Normal"/>
    <w:link w:val="Heading1Char"/>
    <w:qFormat/>
    <w:rsid w:val="00CC2F3B"/>
    <w:pPr>
      <w:keepNext/>
      <w:pBdr>
        <w:bottom w:val="single" w:sz="12" w:space="1" w:color="F0C146"/>
      </w:pBdr>
      <w:tabs>
        <w:tab w:val="left" w:pos="720"/>
      </w:tabs>
      <w:spacing w:before="480" w:after="240"/>
      <w:ind w:left="720" w:hanging="720"/>
      <w:outlineLvl w:val="0"/>
    </w:pPr>
    <w:rPr>
      <w:rFonts w:ascii="Gill Sans MT" w:hAnsi="Gill Sans MT"/>
      <w:b/>
      <w:color w:val="4F81BD"/>
      <w:kern w:val="32"/>
      <w:sz w:val="32"/>
      <w:szCs w:val="32"/>
      <w:u w:color="F79646"/>
    </w:rPr>
  </w:style>
  <w:style w:type="paragraph" w:styleId="Heading2">
    <w:name w:val="heading 2"/>
    <w:basedOn w:val="Normal"/>
    <w:next w:val="Normal"/>
    <w:link w:val="Heading2Char"/>
    <w:qFormat/>
    <w:rsid w:val="009E7B6B"/>
    <w:pPr>
      <w:keepNext/>
      <w:tabs>
        <w:tab w:val="left" w:pos="720"/>
      </w:tabs>
      <w:spacing w:before="360" w:after="240"/>
      <w:ind w:left="720" w:hanging="720"/>
      <w:outlineLvl w:val="1"/>
    </w:pPr>
    <w:rPr>
      <w:rFonts w:ascii="Gill Sans MT" w:hAnsi="Gill Sans MT" w:cs="Arial"/>
      <w:b/>
      <w:bCs/>
      <w:color w:val="4F81BD"/>
      <w:sz w:val="28"/>
    </w:rPr>
  </w:style>
  <w:style w:type="paragraph" w:styleId="Heading3">
    <w:name w:val="heading 3"/>
    <w:basedOn w:val="Normal"/>
    <w:next w:val="Normal"/>
    <w:link w:val="Heading3Char"/>
    <w:qFormat/>
    <w:rsid w:val="00436032"/>
    <w:pPr>
      <w:keepNext/>
      <w:spacing w:before="360" w:after="120"/>
      <w:outlineLvl w:val="2"/>
    </w:pPr>
    <w:rPr>
      <w:rFonts w:ascii="Gill Sans MT" w:hAnsi="Gill Sans MT" w:cs="Arial"/>
      <w:b/>
      <w:bCs/>
      <w:color w:val="0066CC"/>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2F3B"/>
    <w:rPr>
      <w:rFonts w:ascii="Gill Sans MT" w:eastAsia="Times New Roman" w:hAnsi="Gill Sans MT" w:cs="Times New Roman"/>
      <w:b/>
      <w:color w:val="4F81BD"/>
      <w:kern w:val="32"/>
      <w:sz w:val="32"/>
      <w:szCs w:val="32"/>
      <w:u w:color="F79646"/>
    </w:rPr>
  </w:style>
  <w:style w:type="character" w:customStyle="1" w:styleId="Heading2Char">
    <w:name w:val="Heading 2 Char"/>
    <w:basedOn w:val="DefaultParagraphFont"/>
    <w:link w:val="Heading2"/>
    <w:rsid w:val="009E7B6B"/>
    <w:rPr>
      <w:rFonts w:ascii="Gill Sans MT" w:eastAsia="Times New Roman" w:hAnsi="Gill Sans MT" w:cs="Arial"/>
      <w:b/>
      <w:bCs/>
      <w:color w:val="4F81BD"/>
      <w:sz w:val="28"/>
      <w:szCs w:val="24"/>
    </w:rPr>
  </w:style>
  <w:style w:type="character" w:customStyle="1" w:styleId="Heading3Char">
    <w:name w:val="Heading 3 Char"/>
    <w:basedOn w:val="DefaultParagraphFont"/>
    <w:link w:val="Heading3"/>
    <w:rsid w:val="00436032"/>
    <w:rPr>
      <w:rFonts w:ascii="Gill Sans MT" w:eastAsia="Times New Roman" w:hAnsi="Gill Sans MT" w:cs="Arial"/>
      <w:b/>
      <w:bCs/>
      <w:color w:val="0066CC"/>
      <w:szCs w:val="20"/>
    </w:rPr>
  </w:style>
  <w:style w:type="paragraph" w:customStyle="1" w:styleId="acronyms">
    <w:name w:val="acronyms"/>
    <w:basedOn w:val="Normal"/>
    <w:rsid w:val="00436032"/>
    <w:pPr>
      <w:spacing w:after="120" w:line="260" w:lineRule="exact"/>
      <w:ind w:left="1440" w:hanging="1440"/>
    </w:pPr>
    <w:rPr>
      <w:lang w:eastAsia="zh-CN"/>
    </w:rPr>
  </w:style>
  <w:style w:type="paragraph" w:customStyle="1" w:styleId="BodyText">
    <w:name w:val="BodyText"/>
    <w:basedOn w:val="Normal"/>
    <w:link w:val="BodyTextChar"/>
    <w:qFormat/>
    <w:rsid w:val="00436032"/>
    <w:pPr>
      <w:spacing w:after="120" w:line="260" w:lineRule="exact"/>
    </w:pPr>
  </w:style>
  <w:style w:type="character" w:customStyle="1" w:styleId="BodyTextChar">
    <w:name w:val="BodyText Char"/>
    <w:link w:val="BodyText"/>
    <w:rsid w:val="00436032"/>
    <w:rPr>
      <w:rFonts w:ascii="Garamond" w:eastAsia="Times New Roman" w:hAnsi="Garamond" w:cs="Times New Roman"/>
      <w:szCs w:val="24"/>
    </w:rPr>
  </w:style>
  <w:style w:type="character" w:styleId="CommentReference">
    <w:name w:val="annotation reference"/>
    <w:rsid w:val="00436032"/>
    <w:rPr>
      <w:sz w:val="16"/>
      <w:szCs w:val="16"/>
    </w:rPr>
  </w:style>
  <w:style w:type="paragraph" w:styleId="CommentText">
    <w:name w:val="annotation text"/>
    <w:basedOn w:val="Normal"/>
    <w:link w:val="CommentTextChar"/>
    <w:rsid w:val="00436032"/>
    <w:rPr>
      <w:sz w:val="20"/>
      <w:szCs w:val="20"/>
    </w:rPr>
  </w:style>
  <w:style w:type="character" w:customStyle="1" w:styleId="CommentTextChar">
    <w:name w:val="Comment Text Char"/>
    <w:basedOn w:val="DefaultParagraphFont"/>
    <w:link w:val="CommentText"/>
    <w:rsid w:val="00436032"/>
    <w:rPr>
      <w:rFonts w:ascii="Garamond" w:eastAsia="Times New Roman" w:hAnsi="Garamond" w:cs="Times New Roman"/>
      <w:sz w:val="20"/>
      <w:szCs w:val="20"/>
    </w:rPr>
  </w:style>
  <w:style w:type="paragraph" w:customStyle="1" w:styleId="copyright">
    <w:name w:val="copyright"/>
    <w:basedOn w:val="Normal"/>
    <w:rsid w:val="00436032"/>
    <w:pPr>
      <w:spacing w:before="240"/>
    </w:pPr>
    <w:rPr>
      <w:lang w:eastAsia="zh-CN"/>
    </w:rPr>
  </w:style>
  <w:style w:type="paragraph" w:styleId="Footer">
    <w:name w:val="footer"/>
    <w:basedOn w:val="Normal"/>
    <w:link w:val="FooterChar"/>
    <w:uiPriority w:val="99"/>
    <w:rsid w:val="00436032"/>
    <w:pPr>
      <w:tabs>
        <w:tab w:val="center" w:pos="4320"/>
        <w:tab w:val="right" w:pos="8640"/>
      </w:tabs>
    </w:pPr>
    <w:rPr>
      <w:rFonts w:ascii="Gill Sans MT" w:hAnsi="Gill Sans MT"/>
      <w:noProof/>
      <w:color w:val="6B6B6B"/>
      <w:sz w:val="18"/>
      <w:szCs w:val="18"/>
      <w:lang w:eastAsia="zh-CN"/>
    </w:rPr>
  </w:style>
  <w:style w:type="character" w:customStyle="1" w:styleId="FooterChar">
    <w:name w:val="Footer Char"/>
    <w:basedOn w:val="DefaultParagraphFont"/>
    <w:link w:val="Footer"/>
    <w:uiPriority w:val="99"/>
    <w:rsid w:val="00436032"/>
    <w:rPr>
      <w:rFonts w:ascii="Gill Sans MT" w:eastAsia="Times New Roman" w:hAnsi="Gill Sans MT" w:cs="Times New Roman"/>
      <w:noProof/>
      <w:color w:val="6B6B6B"/>
      <w:sz w:val="18"/>
      <w:szCs w:val="18"/>
      <w:lang w:eastAsia="zh-CN"/>
    </w:rPr>
  </w:style>
  <w:style w:type="character" w:customStyle="1" w:styleId="HyperlinkText">
    <w:name w:val="Hyperlink Text"/>
    <w:qFormat/>
    <w:rsid w:val="00436032"/>
    <w:rPr>
      <w:rFonts w:ascii="Garamond" w:eastAsia="SimSun" w:hAnsi="Garamond"/>
      <w:color w:val="333399"/>
      <w:kern w:val="20"/>
      <w:sz w:val="22"/>
      <w:u w:val="single"/>
      <w:vertAlign w:val="baseline"/>
      <w:lang w:val="en-US" w:eastAsia="zh-CN"/>
    </w:rPr>
  </w:style>
  <w:style w:type="paragraph" w:styleId="ListBullet">
    <w:name w:val="List Bullet"/>
    <w:basedOn w:val="Normal"/>
    <w:rsid w:val="00436032"/>
    <w:pPr>
      <w:numPr>
        <w:numId w:val="2"/>
      </w:numPr>
      <w:spacing w:after="120" w:line="260" w:lineRule="exact"/>
    </w:pPr>
    <w:rPr>
      <w:lang w:eastAsia="zh-CN"/>
    </w:rPr>
  </w:style>
  <w:style w:type="paragraph" w:styleId="ListBullet2">
    <w:name w:val="List Bullet 2"/>
    <w:basedOn w:val="ListBullet"/>
    <w:uiPriority w:val="99"/>
    <w:rsid w:val="00436032"/>
    <w:pPr>
      <w:numPr>
        <w:ilvl w:val="1"/>
        <w:numId w:val="1"/>
      </w:numPr>
    </w:pPr>
  </w:style>
  <w:style w:type="paragraph" w:styleId="Title">
    <w:name w:val="Title"/>
    <w:basedOn w:val="Normal"/>
    <w:link w:val="TitleChar"/>
    <w:qFormat/>
    <w:rsid w:val="00436032"/>
    <w:pPr>
      <w:spacing w:before="240" w:after="60"/>
      <w:jc w:val="right"/>
    </w:pPr>
    <w:rPr>
      <w:rFonts w:ascii="Gill Sans MT" w:hAnsi="Gill Sans MT"/>
      <w:b/>
      <w:kern w:val="28"/>
      <w:sz w:val="36"/>
      <w:lang w:eastAsia="zh-CN"/>
    </w:rPr>
  </w:style>
  <w:style w:type="character" w:customStyle="1" w:styleId="TitleChar">
    <w:name w:val="Title Char"/>
    <w:basedOn w:val="DefaultParagraphFont"/>
    <w:link w:val="Title"/>
    <w:rsid w:val="00436032"/>
    <w:rPr>
      <w:rFonts w:ascii="Gill Sans MT" w:eastAsia="Times New Roman" w:hAnsi="Gill Sans MT" w:cs="Times New Roman"/>
      <w:b/>
      <w:kern w:val="28"/>
      <w:sz w:val="36"/>
      <w:szCs w:val="24"/>
      <w:lang w:eastAsia="zh-CN"/>
    </w:rPr>
  </w:style>
  <w:style w:type="paragraph" w:customStyle="1" w:styleId="SubTitle">
    <w:name w:val="Sub Title"/>
    <w:basedOn w:val="Title"/>
    <w:rsid w:val="00436032"/>
    <w:rPr>
      <w:sz w:val="28"/>
    </w:rPr>
  </w:style>
  <w:style w:type="paragraph" w:customStyle="1" w:styleId="TableHead">
    <w:name w:val="TableHead"/>
    <w:basedOn w:val="Normal"/>
    <w:next w:val="Normal"/>
    <w:link w:val="TableHeadChar"/>
    <w:rsid w:val="00436032"/>
    <w:pPr>
      <w:keepNext/>
      <w:spacing w:before="60" w:after="60" w:line="220" w:lineRule="exact"/>
    </w:pPr>
    <w:rPr>
      <w:b/>
      <w:color w:val="000000"/>
      <w:sz w:val="18"/>
      <w:szCs w:val="20"/>
      <w:lang w:eastAsia="zh-CN"/>
    </w:rPr>
  </w:style>
  <w:style w:type="paragraph" w:customStyle="1" w:styleId="TableText">
    <w:name w:val="TableText"/>
    <w:basedOn w:val="Normal"/>
    <w:link w:val="TableTextChar"/>
    <w:rsid w:val="00436032"/>
    <w:pPr>
      <w:keepNext/>
      <w:spacing w:before="40" w:after="40" w:line="220" w:lineRule="exact"/>
    </w:pPr>
    <w:rPr>
      <w:noProof/>
      <w:sz w:val="18"/>
      <w:szCs w:val="20"/>
      <w:lang w:eastAsia="zh-CN"/>
    </w:rPr>
  </w:style>
  <w:style w:type="paragraph" w:styleId="TOC1">
    <w:name w:val="toc 1"/>
    <w:basedOn w:val="Normal"/>
    <w:next w:val="TOC2"/>
    <w:uiPriority w:val="39"/>
    <w:rsid w:val="00436032"/>
    <w:pPr>
      <w:keepNext/>
      <w:tabs>
        <w:tab w:val="left" w:pos="450"/>
        <w:tab w:val="right" w:leader="dot" w:pos="8640"/>
      </w:tabs>
      <w:spacing w:before="240" w:after="120"/>
      <w:ind w:left="446" w:right="720" w:hanging="446"/>
    </w:pPr>
    <w:rPr>
      <w:rFonts w:cs="Arial"/>
      <w:caps/>
      <w:noProof/>
      <w:szCs w:val="20"/>
    </w:rPr>
  </w:style>
  <w:style w:type="paragraph" w:styleId="TOC2">
    <w:name w:val="toc 2"/>
    <w:basedOn w:val="Normal"/>
    <w:next w:val="TOC3"/>
    <w:uiPriority w:val="39"/>
    <w:rsid w:val="00436032"/>
    <w:pPr>
      <w:tabs>
        <w:tab w:val="right" w:leader="dot" w:pos="8640"/>
      </w:tabs>
      <w:spacing w:after="120"/>
      <w:ind w:left="202"/>
      <w:outlineLvl w:val="1"/>
    </w:pPr>
    <w:rPr>
      <w:rFonts w:cs="Arial"/>
      <w:noProof/>
      <w:szCs w:val="20"/>
    </w:rPr>
  </w:style>
  <w:style w:type="paragraph" w:customStyle="1" w:styleId="TOCTitle">
    <w:name w:val="TOC Title"/>
    <w:basedOn w:val="Heading1"/>
    <w:next w:val="Normal"/>
    <w:rsid w:val="00436032"/>
    <w:pPr>
      <w:pBdr>
        <w:bottom w:val="single" w:sz="12" w:space="1" w:color="F0C043"/>
      </w:pBdr>
      <w:outlineLvl w:val="9"/>
    </w:pPr>
    <w:rPr>
      <w:rFonts w:cs="Arial"/>
      <w:szCs w:val="28"/>
    </w:rPr>
  </w:style>
  <w:style w:type="character" w:customStyle="1" w:styleId="TableHeadChar">
    <w:name w:val="TableHead Char"/>
    <w:basedOn w:val="DefaultParagraphFont"/>
    <w:link w:val="TableHead"/>
    <w:rsid w:val="00436032"/>
    <w:rPr>
      <w:rFonts w:ascii="Garamond" w:eastAsia="Times New Roman" w:hAnsi="Garamond" w:cs="Times New Roman"/>
      <w:b/>
      <w:color w:val="000000"/>
      <w:sz w:val="18"/>
      <w:szCs w:val="20"/>
      <w:lang w:eastAsia="zh-CN"/>
    </w:rPr>
  </w:style>
  <w:style w:type="character" w:customStyle="1" w:styleId="TableTextChar">
    <w:name w:val="TableText Char"/>
    <w:basedOn w:val="DefaultParagraphFont"/>
    <w:link w:val="TableText"/>
    <w:rsid w:val="00436032"/>
    <w:rPr>
      <w:rFonts w:ascii="Garamond" w:eastAsia="Times New Roman" w:hAnsi="Garamond" w:cs="Times New Roman"/>
      <w:noProof/>
      <w:sz w:val="18"/>
      <w:szCs w:val="20"/>
      <w:lang w:eastAsia="zh-CN"/>
    </w:rPr>
  </w:style>
  <w:style w:type="paragraph" w:customStyle="1" w:styleId="MemoBodyText">
    <w:name w:val="Memo Body Text"/>
    <w:basedOn w:val="Normal"/>
    <w:link w:val="MemoBodyTextChar"/>
    <w:qFormat/>
    <w:rsid w:val="00436032"/>
    <w:pPr>
      <w:spacing w:after="120" w:line="260" w:lineRule="exact"/>
    </w:pPr>
  </w:style>
  <w:style w:type="character" w:customStyle="1" w:styleId="MemoBodyTextChar">
    <w:name w:val="Memo Body Text Char"/>
    <w:basedOn w:val="DefaultParagraphFont"/>
    <w:link w:val="MemoBodyText"/>
    <w:rsid w:val="00436032"/>
    <w:rPr>
      <w:rFonts w:ascii="Garamond" w:eastAsia="Times New Roman" w:hAnsi="Garamond" w:cs="Times New Roman"/>
      <w:szCs w:val="24"/>
    </w:rPr>
  </w:style>
  <w:style w:type="paragraph" w:styleId="ListNumber2">
    <w:name w:val="List Number 2"/>
    <w:basedOn w:val="Normal"/>
    <w:rsid w:val="00436032"/>
    <w:pPr>
      <w:numPr>
        <w:numId w:val="3"/>
      </w:numPr>
      <w:contextualSpacing/>
    </w:pPr>
  </w:style>
  <w:style w:type="paragraph" w:styleId="BodyText0">
    <w:name w:val="Body Text"/>
    <w:basedOn w:val="Normal"/>
    <w:link w:val="BodyTextChar0"/>
    <w:rsid w:val="00436032"/>
    <w:pPr>
      <w:spacing w:after="120"/>
    </w:pPr>
  </w:style>
  <w:style w:type="character" w:customStyle="1" w:styleId="BodyTextChar0">
    <w:name w:val="Body Text Char"/>
    <w:basedOn w:val="DefaultParagraphFont"/>
    <w:link w:val="BodyText0"/>
    <w:rsid w:val="00436032"/>
    <w:rPr>
      <w:rFonts w:ascii="Garamond" w:eastAsia="Times New Roman" w:hAnsi="Garamond" w:cs="Times New Roman"/>
      <w:szCs w:val="24"/>
    </w:rPr>
  </w:style>
  <w:style w:type="paragraph" w:styleId="TOC3">
    <w:name w:val="toc 3"/>
    <w:basedOn w:val="Normal"/>
    <w:next w:val="Normal"/>
    <w:autoRedefine/>
    <w:uiPriority w:val="39"/>
    <w:semiHidden/>
    <w:unhideWhenUsed/>
    <w:rsid w:val="00436032"/>
    <w:pPr>
      <w:spacing w:after="100"/>
      <w:ind w:left="440"/>
    </w:pPr>
  </w:style>
  <w:style w:type="paragraph" w:styleId="BalloonText">
    <w:name w:val="Balloon Text"/>
    <w:basedOn w:val="Normal"/>
    <w:link w:val="BalloonTextChar"/>
    <w:uiPriority w:val="99"/>
    <w:semiHidden/>
    <w:unhideWhenUsed/>
    <w:rsid w:val="00436032"/>
    <w:rPr>
      <w:rFonts w:ascii="Tahoma" w:hAnsi="Tahoma" w:cs="Tahoma"/>
      <w:sz w:val="16"/>
      <w:szCs w:val="16"/>
    </w:rPr>
  </w:style>
  <w:style w:type="character" w:customStyle="1" w:styleId="BalloonTextChar">
    <w:name w:val="Balloon Text Char"/>
    <w:basedOn w:val="DefaultParagraphFont"/>
    <w:link w:val="BalloonText"/>
    <w:uiPriority w:val="99"/>
    <w:semiHidden/>
    <w:rsid w:val="00436032"/>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8D433E"/>
    <w:rPr>
      <w:b/>
      <w:bCs/>
    </w:rPr>
  </w:style>
  <w:style w:type="character" w:customStyle="1" w:styleId="CommentSubjectChar">
    <w:name w:val="Comment Subject Char"/>
    <w:basedOn w:val="CommentTextChar"/>
    <w:link w:val="CommentSubject"/>
    <w:uiPriority w:val="99"/>
    <w:semiHidden/>
    <w:rsid w:val="008D433E"/>
    <w:rPr>
      <w:rFonts w:ascii="Garamond" w:eastAsia="Times New Roman" w:hAnsi="Garamond" w:cs="Times New Roman"/>
      <w:b/>
      <w:bCs/>
      <w:sz w:val="20"/>
      <w:szCs w:val="20"/>
    </w:rPr>
  </w:style>
  <w:style w:type="paragraph" w:styleId="Revision">
    <w:name w:val="Revision"/>
    <w:hidden/>
    <w:uiPriority w:val="99"/>
    <w:semiHidden/>
    <w:rsid w:val="00700701"/>
    <w:pPr>
      <w:spacing w:after="0" w:line="240" w:lineRule="auto"/>
    </w:pPr>
    <w:rPr>
      <w:rFonts w:ascii="Garamond" w:eastAsia="Times New Roman" w:hAnsi="Garamond" w:cs="Times New Roman"/>
      <w:szCs w:val="24"/>
    </w:rPr>
  </w:style>
  <w:style w:type="paragraph" w:styleId="Header">
    <w:name w:val="header"/>
    <w:basedOn w:val="Normal"/>
    <w:link w:val="HeaderChar"/>
    <w:uiPriority w:val="99"/>
    <w:semiHidden/>
    <w:unhideWhenUsed/>
    <w:rsid w:val="00914104"/>
    <w:pPr>
      <w:tabs>
        <w:tab w:val="center" w:pos="4680"/>
        <w:tab w:val="right" w:pos="9360"/>
      </w:tabs>
    </w:pPr>
  </w:style>
  <w:style w:type="character" w:customStyle="1" w:styleId="HeaderChar">
    <w:name w:val="Header Char"/>
    <w:basedOn w:val="DefaultParagraphFont"/>
    <w:link w:val="Header"/>
    <w:uiPriority w:val="99"/>
    <w:semiHidden/>
    <w:rsid w:val="00914104"/>
    <w:rPr>
      <w:rFonts w:ascii="Garamond" w:eastAsia="Times New Roman" w:hAnsi="Garamond" w:cs="Times New Roman"/>
      <w:szCs w:val="24"/>
    </w:rPr>
  </w:style>
  <w:style w:type="paragraph" w:styleId="NormalWeb">
    <w:name w:val="Normal (Web)"/>
    <w:basedOn w:val="Normal"/>
    <w:uiPriority w:val="99"/>
    <w:semiHidden/>
    <w:unhideWhenUsed/>
    <w:rsid w:val="00B22BC3"/>
    <w:pPr>
      <w:spacing w:before="100" w:beforeAutospacing="1" w:after="100" w:afterAutospacing="1"/>
    </w:pPr>
    <w:rPr>
      <w:rFonts w:ascii="Times New Roman" w:hAnsi="Times New Roman"/>
      <w:sz w:val="24"/>
    </w:rPr>
  </w:style>
  <w:style w:type="paragraph" w:styleId="FootnoteText">
    <w:name w:val="footnote text"/>
    <w:basedOn w:val="Normal"/>
    <w:link w:val="FootnoteTextChar"/>
    <w:uiPriority w:val="99"/>
    <w:unhideWhenUsed/>
    <w:rsid w:val="00647BD9"/>
    <w:rPr>
      <w:sz w:val="20"/>
      <w:szCs w:val="20"/>
    </w:rPr>
  </w:style>
  <w:style w:type="character" w:customStyle="1" w:styleId="FootnoteTextChar">
    <w:name w:val="Footnote Text Char"/>
    <w:basedOn w:val="DefaultParagraphFont"/>
    <w:link w:val="FootnoteText"/>
    <w:uiPriority w:val="99"/>
    <w:rsid w:val="00647BD9"/>
    <w:rPr>
      <w:rFonts w:ascii="Garamond" w:eastAsia="Times New Roman" w:hAnsi="Garamond" w:cs="Times New Roman"/>
      <w:sz w:val="20"/>
      <w:szCs w:val="20"/>
    </w:rPr>
  </w:style>
  <w:style w:type="character" w:styleId="FootnoteReference">
    <w:name w:val="footnote reference"/>
    <w:basedOn w:val="DefaultParagraphFont"/>
    <w:uiPriority w:val="99"/>
    <w:semiHidden/>
    <w:unhideWhenUsed/>
    <w:rsid w:val="00647BD9"/>
    <w:rPr>
      <w:vertAlign w:val="superscript"/>
    </w:rPr>
  </w:style>
  <w:style w:type="character" w:styleId="Hyperlink">
    <w:name w:val="Hyperlink"/>
    <w:rsid w:val="005D45A7"/>
    <w:rPr>
      <w:rFonts w:ascii="Garamond" w:hAnsi="Garamond"/>
      <w:color w:val="333399"/>
      <w:sz w:val="22"/>
      <w:u w:val="single"/>
      <w:vertAlign w:val="baseline"/>
      <w:lang w:val="en-US"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032"/>
    <w:pPr>
      <w:spacing w:after="0" w:line="240" w:lineRule="auto"/>
    </w:pPr>
    <w:rPr>
      <w:rFonts w:ascii="Garamond" w:eastAsia="Times New Roman" w:hAnsi="Garamond" w:cs="Times New Roman"/>
      <w:szCs w:val="24"/>
    </w:rPr>
  </w:style>
  <w:style w:type="paragraph" w:styleId="Heading1">
    <w:name w:val="heading 1"/>
    <w:basedOn w:val="Normal"/>
    <w:next w:val="Normal"/>
    <w:link w:val="Heading1Char"/>
    <w:qFormat/>
    <w:rsid w:val="00CC2F3B"/>
    <w:pPr>
      <w:keepNext/>
      <w:pBdr>
        <w:bottom w:val="single" w:sz="12" w:space="1" w:color="F0C146"/>
      </w:pBdr>
      <w:tabs>
        <w:tab w:val="left" w:pos="720"/>
      </w:tabs>
      <w:spacing w:before="480" w:after="240"/>
      <w:ind w:left="720" w:hanging="720"/>
      <w:outlineLvl w:val="0"/>
    </w:pPr>
    <w:rPr>
      <w:rFonts w:ascii="Gill Sans MT" w:hAnsi="Gill Sans MT"/>
      <w:b/>
      <w:color w:val="4F81BD"/>
      <w:kern w:val="32"/>
      <w:sz w:val="32"/>
      <w:szCs w:val="32"/>
      <w:u w:color="F79646"/>
    </w:rPr>
  </w:style>
  <w:style w:type="paragraph" w:styleId="Heading2">
    <w:name w:val="heading 2"/>
    <w:basedOn w:val="Normal"/>
    <w:next w:val="Normal"/>
    <w:link w:val="Heading2Char"/>
    <w:qFormat/>
    <w:rsid w:val="00CC2F3B"/>
    <w:pPr>
      <w:keepNext/>
      <w:pBdr>
        <w:bottom w:val="dashed" w:sz="8" w:space="1" w:color="F0C046"/>
      </w:pBdr>
      <w:tabs>
        <w:tab w:val="left" w:pos="720"/>
      </w:tabs>
      <w:spacing w:before="360" w:after="240"/>
      <w:ind w:left="720" w:hanging="720"/>
      <w:outlineLvl w:val="1"/>
    </w:pPr>
    <w:rPr>
      <w:rFonts w:ascii="Gill Sans MT" w:hAnsi="Gill Sans MT" w:cs="Arial"/>
      <w:b/>
      <w:bCs/>
      <w:color w:val="4F81BD"/>
      <w:sz w:val="28"/>
    </w:rPr>
  </w:style>
  <w:style w:type="paragraph" w:styleId="Heading3">
    <w:name w:val="heading 3"/>
    <w:basedOn w:val="Normal"/>
    <w:next w:val="Normal"/>
    <w:link w:val="Heading3Char"/>
    <w:qFormat/>
    <w:rsid w:val="00436032"/>
    <w:pPr>
      <w:keepNext/>
      <w:spacing w:before="360" w:after="120"/>
      <w:outlineLvl w:val="2"/>
    </w:pPr>
    <w:rPr>
      <w:rFonts w:ascii="Gill Sans MT" w:hAnsi="Gill Sans MT" w:cs="Arial"/>
      <w:b/>
      <w:bCs/>
      <w:color w:val="0066CC"/>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2F3B"/>
    <w:rPr>
      <w:rFonts w:ascii="Gill Sans MT" w:eastAsia="Times New Roman" w:hAnsi="Gill Sans MT" w:cs="Times New Roman"/>
      <w:b/>
      <w:color w:val="4F81BD"/>
      <w:kern w:val="32"/>
      <w:sz w:val="32"/>
      <w:szCs w:val="32"/>
      <w:u w:color="F79646"/>
    </w:rPr>
  </w:style>
  <w:style w:type="character" w:customStyle="1" w:styleId="Heading2Char">
    <w:name w:val="Heading 2 Char"/>
    <w:basedOn w:val="DefaultParagraphFont"/>
    <w:link w:val="Heading2"/>
    <w:rsid w:val="00CC2F3B"/>
    <w:rPr>
      <w:rFonts w:ascii="Gill Sans MT" w:eastAsia="Times New Roman" w:hAnsi="Gill Sans MT" w:cs="Arial"/>
      <w:b/>
      <w:bCs/>
      <w:color w:val="4F81BD"/>
      <w:sz w:val="28"/>
      <w:szCs w:val="24"/>
    </w:rPr>
  </w:style>
  <w:style w:type="character" w:customStyle="1" w:styleId="Heading3Char">
    <w:name w:val="Heading 3 Char"/>
    <w:basedOn w:val="DefaultParagraphFont"/>
    <w:link w:val="Heading3"/>
    <w:rsid w:val="00436032"/>
    <w:rPr>
      <w:rFonts w:ascii="Gill Sans MT" w:eastAsia="Times New Roman" w:hAnsi="Gill Sans MT" w:cs="Arial"/>
      <w:b/>
      <w:bCs/>
      <w:color w:val="0066CC"/>
      <w:szCs w:val="20"/>
    </w:rPr>
  </w:style>
  <w:style w:type="paragraph" w:customStyle="1" w:styleId="acronyms">
    <w:name w:val="acronyms"/>
    <w:basedOn w:val="Normal"/>
    <w:rsid w:val="00436032"/>
    <w:pPr>
      <w:spacing w:after="120" w:line="260" w:lineRule="exact"/>
      <w:ind w:left="1440" w:hanging="1440"/>
    </w:pPr>
    <w:rPr>
      <w:lang w:eastAsia="zh-CN"/>
    </w:rPr>
  </w:style>
  <w:style w:type="paragraph" w:customStyle="1" w:styleId="BodyText">
    <w:name w:val="BodyText"/>
    <w:basedOn w:val="Normal"/>
    <w:link w:val="BodyTextChar"/>
    <w:qFormat/>
    <w:rsid w:val="00436032"/>
    <w:pPr>
      <w:spacing w:after="120" w:line="260" w:lineRule="exact"/>
    </w:pPr>
  </w:style>
  <w:style w:type="character" w:customStyle="1" w:styleId="BodyTextChar">
    <w:name w:val="BodyText Char"/>
    <w:link w:val="BodyText"/>
    <w:rsid w:val="00436032"/>
    <w:rPr>
      <w:rFonts w:ascii="Garamond" w:eastAsia="Times New Roman" w:hAnsi="Garamond" w:cs="Times New Roman"/>
      <w:szCs w:val="24"/>
    </w:rPr>
  </w:style>
  <w:style w:type="character" w:styleId="CommentReference">
    <w:name w:val="annotation reference"/>
    <w:rsid w:val="00436032"/>
    <w:rPr>
      <w:sz w:val="16"/>
      <w:szCs w:val="16"/>
    </w:rPr>
  </w:style>
  <w:style w:type="paragraph" w:styleId="CommentText">
    <w:name w:val="annotation text"/>
    <w:basedOn w:val="Normal"/>
    <w:link w:val="CommentTextChar"/>
    <w:rsid w:val="00436032"/>
    <w:rPr>
      <w:sz w:val="20"/>
      <w:szCs w:val="20"/>
    </w:rPr>
  </w:style>
  <w:style w:type="character" w:customStyle="1" w:styleId="CommentTextChar">
    <w:name w:val="Comment Text Char"/>
    <w:basedOn w:val="DefaultParagraphFont"/>
    <w:link w:val="CommentText"/>
    <w:rsid w:val="00436032"/>
    <w:rPr>
      <w:rFonts w:ascii="Garamond" w:eastAsia="Times New Roman" w:hAnsi="Garamond" w:cs="Times New Roman"/>
      <w:sz w:val="20"/>
      <w:szCs w:val="20"/>
    </w:rPr>
  </w:style>
  <w:style w:type="paragraph" w:customStyle="1" w:styleId="copyright">
    <w:name w:val="copyright"/>
    <w:basedOn w:val="Normal"/>
    <w:rsid w:val="00436032"/>
    <w:pPr>
      <w:spacing w:before="240"/>
    </w:pPr>
    <w:rPr>
      <w:lang w:eastAsia="zh-CN"/>
    </w:rPr>
  </w:style>
  <w:style w:type="paragraph" w:styleId="Footer">
    <w:name w:val="footer"/>
    <w:basedOn w:val="Normal"/>
    <w:link w:val="FooterChar"/>
    <w:uiPriority w:val="99"/>
    <w:rsid w:val="00436032"/>
    <w:pPr>
      <w:tabs>
        <w:tab w:val="center" w:pos="4320"/>
        <w:tab w:val="right" w:pos="8640"/>
      </w:tabs>
    </w:pPr>
    <w:rPr>
      <w:rFonts w:ascii="Gill Sans MT" w:hAnsi="Gill Sans MT"/>
      <w:noProof/>
      <w:color w:val="6B6B6B"/>
      <w:sz w:val="18"/>
      <w:szCs w:val="18"/>
      <w:lang w:eastAsia="zh-CN"/>
    </w:rPr>
  </w:style>
  <w:style w:type="character" w:customStyle="1" w:styleId="FooterChar">
    <w:name w:val="Footer Char"/>
    <w:basedOn w:val="DefaultParagraphFont"/>
    <w:link w:val="Footer"/>
    <w:uiPriority w:val="99"/>
    <w:rsid w:val="00436032"/>
    <w:rPr>
      <w:rFonts w:ascii="Gill Sans MT" w:eastAsia="Times New Roman" w:hAnsi="Gill Sans MT" w:cs="Times New Roman"/>
      <w:noProof/>
      <w:color w:val="6B6B6B"/>
      <w:sz w:val="18"/>
      <w:szCs w:val="18"/>
      <w:lang w:eastAsia="zh-CN"/>
    </w:rPr>
  </w:style>
  <w:style w:type="character" w:customStyle="1" w:styleId="HyperlinkText">
    <w:name w:val="Hyperlink Text"/>
    <w:qFormat/>
    <w:rsid w:val="00436032"/>
    <w:rPr>
      <w:rFonts w:ascii="Garamond" w:eastAsia="SimSun" w:hAnsi="Garamond"/>
      <w:color w:val="333399"/>
      <w:kern w:val="20"/>
      <w:sz w:val="22"/>
      <w:u w:val="single"/>
      <w:vertAlign w:val="baseline"/>
      <w:lang w:val="en-US" w:eastAsia="zh-CN"/>
    </w:rPr>
  </w:style>
  <w:style w:type="paragraph" w:styleId="ListBullet">
    <w:name w:val="List Bullet"/>
    <w:basedOn w:val="Normal"/>
    <w:rsid w:val="00436032"/>
    <w:pPr>
      <w:numPr>
        <w:numId w:val="2"/>
      </w:numPr>
      <w:spacing w:after="120" w:line="260" w:lineRule="exact"/>
    </w:pPr>
    <w:rPr>
      <w:lang w:eastAsia="zh-CN"/>
    </w:rPr>
  </w:style>
  <w:style w:type="paragraph" w:styleId="ListBullet2">
    <w:name w:val="List Bullet 2"/>
    <w:basedOn w:val="ListBullet"/>
    <w:uiPriority w:val="99"/>
    <w:rsid w:val="00436032"/>
    <w:pPr>
      <w:numPr>
        <w:ilvl w:val="1"/>
        <w:numId w:val="1"/>
      </w:numPr>
    </w:pPr>
  </w:style>
  <w:style w:type="paragraph" w:styleId="Title">
    <w:name w:val="Title"/>
    <w:basedOn w:val="Normal"/>
    <w:link w:val="TitleChar"/>
    <w:qFormat/>
    <w:rsid w:val="00436032"/>
    <w:pPr>
      <w:spacing w:before="240" w:after="60"/>
      <w:jc w:val="right"/>
    </w:pPr>
    <w:rPr>
      <w:rFonts w:ascii="Gill Sans MT" w:hAnsi="Gill Sans MT"/>
      <w:b/>
      <w:kern w:val="28"/>
      <w:sz w:val="36"/>
      <w:lang w:eastAsia="zh-CN"/>
    </w:rPr>
  </w:style>
  <w:style w:type="character" w:customStyle="1" w:styleId="TitleChar">
    <w:name w:val="Title Char"/>
    <w:basedOn w:val="DefaultParagraphFont"/>
    <w:link w:val="Title"/>
    <w:rsid w:val="00436032"/>
    <w:rPr>
      <w:rFonts w:ascii="Gill Sans MT" w:eastAsia="Times New Roman" w:hAnsi="Gill Sans MT" w:cs="Times New Roman"/>
      <w:b/>
      <w:kern w:val="28"/>
      <w:sz w:val="36"/>
      <w:szCs w:val="24"/>
      <w:lang w:eastAsia="zh-CN"/>
    </w:rPr>
  </w:style>
  <w:style w:type="paragraph" w:customStyle="1" w:styleId="SubTitle">
    <w:name w:val="Sub Title"/>
    <w:basedOn w:val="Title"/>
    <w:rsid w:val="00436032"/>
    <w:rPr>
      <w:sz w:val="28"/>
    </w:rPr>
  </w:style>
  <w:style w:type="paragraph" w:customStyle="1" w:styleId="TableHead">
    <w:name w:val="TableHead"/>
    <w:basedOn w:val="Normal"/>
    <w:next w:val="Normal"/>
    <w:link w:val="TableHeadChar"/>
    <w:rsid w:val="00436032"/>
    <w:pPr>
      <w:keepNext/>
      <w:spacing w:before="60" w:after="60" w:line="220" w:lineRule="exact"/>
    </w:pPr>
    <w:rPr>
      <w:b/>
      <w:color w:val="000000"/>
      <w:sz w:val="18"/>
      <w:szCs w:val="20"/>
      <w:lang w:eastAsia="zh-CN"/>
    </w:rPr>
  </w:style>
  <w:style w:type="paragraph" w:customStyle="1" w:styleId="TableText">
    <w:name w:val="TableText"/>
    <w:basedOn w:val="Normal"/>
    <w:link w:val="TableTextChar"/>
    <w:rsid w:val="00436032"/>
    <w:pPr>
      <w:keepNext/>
      <w:spacing w:before="40" w:after="40" w:line="220" w:lineRule="exact"/>
    </w:pPr>
    <w:rPr>
      <w:noProof/>
      <w:sz w:val="18"/>
      <w:szCs w:val="20"/>
      <w:lang w:eastAsia="zh-CN"/>
    </w:rPr>
  </w:style>
  <w:style w:type="paragraph" w:styleId="TOC1">
    <w:name w:val="toc 1"/>
    <w:basedOn w:val="Normal"/>
    <w:next w:val="TOC2"/>
    <w:uiPriority w:val="39"/>
    <w:rsid w:val="00436032"/>
    <w:pPr>
      <w:keepNext/>
      <w:tabs>
        <w:tab w:val="left" w:pos="450"/>
        <w:tab w:val="right" w:leader="dot" w:pos="8640"/>
      </w:tabs>
      <w:spacing w:before="240" w:after="120"/>
      <w:ind w:left="446" w:right="720" w:hanging="446"/>
    </w:pPr>
    <w:rPr>
      <w:rFonts w:cs="Arial"/>
      <w:caps/>
      <w:noProof/>
      <w:szCs w:val="20"/>
    </w:rPr>
  </w:style>
  <w:style w:type="paragraph" w:styleId="TOC2">
    <w:name w:val="toc 2"/>
    <w:basedOn w:val="Normal"/>
    <w:next w:val="TOC3"/>
    <w:uiPriority w:val="39"/>
    <w:rsid w:val="00436032"/>
    <w:pPr>
      <w:tabs>
        <w:tab w:val="right" w:leader="dot" w:pos="8640"/>
      </w:tabs>
      <w:spacing w:after="120"/>
      <w:ind w:left="202"/>
      <w:outlineLvl w:val="1"/>
    </w:pPr>
    <w:rPr>
      <w:rFonts w:cs="Arial"/>
      <w:noProof/>
      <w:szCs w:val="20"/>
    </w:rPr>
  </w:style>
  <w:style w:type="paragraph" w:customStyle="1" w:styleId="TOCTitle">
    <w:name w:val="TOC Title"/>
    <w:basedOn w:val="Heading1"/>
    <w:next w:val="Normal"/>
    <w:rsid w:val="00436032"/>
    <w:pPr>
      <w:pBdr>
        <w:bottom w:val="single" w:sz="12" w:space="1" w:color="F0C043"/>
      </w:pBdr>
      <w:outlineLvl w:val="9"/>
    </w:pPr>
    <w:rPr>
      <w:rFonts w:cs="Arial"/>
      <w:szCs w:val="28"/>
    </w:rPr>
  </w:style>
  <w:style w:type="character" w:customStyle="1" w:styleId="TableHeadChar">
    <w:name w:val="TableHead Char"/>
    <w:basedOn w:val="DefaultParagraphFont"/>
    <w:link w:val="TableHead"/>
    <w:rsid w:val="00436032"/>
    <w:rPr>
      <w:rFonts w:ascii="Garamond" w:eastAsia="Times New Roman" w:hAnsi="Garamond" w:cs="Times New Roman"/>
      <w:b/>
      <w:color w:val="000000"/>
      <w:sz w:val="18"/>
      <w:szCs w:val="20"/>
      <w:lang w:eastAsia="zh-CN"/>
    </w:rPr>
  </w:style>
  <w:style w:type="character" w:customStyle="1" w:styleId="TableTextChar">
    <w:name w:val="TableText Char"/>
    <w:basedOn w:val="DefaultParagraphFont"/>
    <w:link w:val="TableText"/>
    <w:rsid w:val="00436032"/>
    <w:rPr>
      <w:rFonts w:ascii="Garamond" w:eastAsia="Times New Roman" w:hAnsi="Garamond" w:cs="Times New Roman"/>
      <w:noProof/>
      <w:sz w:val="18"/>
      <w:szCs w:val="20"/>
      <w:lang w:eastAsia="zh-CN"/>
    </w:rPr>
  </w:style>
  <w:style w:type="paragraph" w:customStyle="1" w:styleId="MemoBodyText">
    <w:name w:val="Memo Body Text"/>
    <w:basedOn w:val="Normal"/>
    <w:link w:val="MemoBodyTextChar"/>
    <w:qFormat/>
    <w:rsid w:val="00436032"/>
    <w:pPr>
      <w:spacing w:after="120" w:line="260" w:lineRule="exact"/>
    </w:pPr>
  </w:style>
  <w:style w:type="character" w:customStyle="1" w:styleId="MemoBodyTextChar">
    <w:name w:val="Memo Body Text Char"/>
    <w:basedOn w:val="DefaultParagraphFont"/>
    <w:link w:val="MemoBodyText"/>
    <w:rsid w:val="00436032"/>
    <w:rPr>
      <w:rFonts w:ascii="Garamond" w:eastAsia="Times New Roman" w:hAnsi="Garamond" w:cs="Times New Roman"/>
      <w:szCs w:val="24"/>
    </w:rPr>
  </w:style>
  <w:style w:type="paragraph" w:styleId="ListNumber2">
    <w:name w:val="List Number 2"/>
    <w:basedOn w:val="Normal"/>
    <w:rsid w:val="00436032"/>
    <w:pPr>
      <w:numPr>
        <w:numId w:val="3"/>
      </w:numPr>
      <w:contextualSpacing/>
    </w:pPr>
  </w:style>
  <w:style w:type="paragraph" w:styleId="BodyText0">
    <w:name w:val="Body Text"/>
    <w:basedOn w:val="Normal"/>
    <w:link w:val="BodyTextChar0"/>
    <w:rsid w:val="00436032"/>
    <w:pPr>
      <w:spacing w:after="120"/>
    </w:pPr>
  </w:style>
  <w:style w:type="character" w:customStyle="1" w:styleId="BodyTextChar0">
    <w:name w:val="Body Text Char"/>
    <w:basedOn w:val="DefaultParagraphFont"/>
    <w:link w:val="BodyText0"/>
    <w:rsid w:val="00436032"/>
    <w:rPr>
      <w:rFonts w:ascii="Garamond" w:eastAsia="Times New Roman" w:hAnsi="Garamond" w:cs="Times New Roman"/>
      <w:szCs w:val="24"/>
    </w:rPr>
  </w:style>
  <w:style w:type="paragraph" w:styleId="TOC3">
    <w:name w:val="toc 3"/>
    <w:basedOn w:val="Normal"/>
    <w:next w:val="Normal"/>
    <w:autoRedefine/>
    <w:uiPriority w:val="39"/>
    <w:semiHidden/>
    <w:unhideWhenUsed/>
    <w:rsid w:val="00436032"/>
    <w:pPr>
      <w:spacing w:after="100"/>
      <w:ind w:left="440"/>
    </w:pPr>
  </w:style>
  <w:style w:type="paragraph" w:styleId="BalloonText">
    <w:name w:val="Balloon Text"/>
    <w:basedOn w:val="Normal"/>
    <w:link w:val="BalloonTextChar"/>
    <w:uiPriority w:val="99"/>
    <w:semiHidden/>
    <w:unhideWhenUsed/>
    <w:rsid w:val="00436032"/>
    <w:rPr>
      <w:rFonts w:ascii="Tahoma" w:hAnsi="Tahoma" w:cs="Tahoma"/>
      <w:sz w:val="16"/>
      <w:szCs w:val="16"/>
    </w:rPr>
  </w:style>
  <w:style w:type="character" w:customStyle="1" w:styleId="BalloonTextChar">
    <w:name w:val="Balloon Text Char"/>
    <w:basedOn w:val="DefaultParagraphFont"/>
    <w:link w:val="BalloonText"/>
    <w:uiPriority w:val="99"/>
    <w:semiHidden/>
    <w:rsid w:val="00436032"/>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8D433E"/>
    <w:rPr>
      <w:b/>
      <w:bCs/>
    </w:rPr>
  </w:style>
  <w:style w:type="character" w:customStyle="1" w:styleId="CommentSubjectChar">
    <w:name w:val="Comment Subject Char"/>
    <w:basedOn w:val="CommentTextChar"/>
    <w:link w:val="CommentSubject"/>
    <w:uiPriority w:val="99"/>
    <w:semiHidden/>
    <w:rsid w:val="008D433E"/>
    <w:rPr>
      <w:rFonts w:ascii="Garamond" w:eastAsia="Times New Roman" w:hAnsi="Garamond" w:cs="Times New Roman"/>
      <w:b/>
      <w:bCs/>
      <w:sz w:val="20"/>
      <w:szCs w:val="20"/>
    </w:rPr>
  </w:style>
  <w:style w:type="paragraph" w:styleId="Revision">
    <w:name w:val="Revision"/>
    <w:hidden/>
    <w:uiPriority w:val="99"/>
    <w:semiHidden/>
    <w:rsid w:val="00700701"/>
    <w:pPr>
      <w:spacing w:after="0" w:line="240" w:lineRule="auto"/>
    </w:pPr>
    <w:rPr>
      <w:rFonts w:ascii="Garamond" w:eastAsia="Times New Roman" w:hAnsi="Garamond" w:cs="Times New Roman"/>
      <w:szCs w:val="24"/>
    </w:rPr>
  </w:style>
  <w:style w:type="paragraph" w:styleId="Header">
    <w:name w:val="header"/>
    <w:basedOn w:val="Normal"/>
    <w:link w:val="HeaderChar"/>
    <w:uiPriority w:val="99"/>
    <w:semiHidden/>
    <w:unhideWhenUsed/>
    <w:rsid w:val="00914104"/>
    <w:pPr>
      <w:tabs>
        <w:tab w:val="center" w:pos="4680"/>
        <w:tab w:val="right" w:pos="9360"/>
      </w:tabs>
    </w:pPr>
  </w:style>
  <w:style w:type="character" w:customStyle="1" w:styleId="HeaderChar">
    <w:name w:val="Header Char"/>
    <w:basedOn w:val="DefaultParagraphFont"/>
    <w:link w:val="Header"/>
    <w:uiPriority w:val="99"/>
    <w:semiHidden/>
    <w:rsid w:val="00914104"/>
    <w:rPr>
      <w:rFonts w:ascii="Garamond" w:eastAsia="Times New Roman" w:hAnsi="Garamond" w:cs="Times New Roman"/>
      <w:szCs w:val="24"/>
    </w:rPr>
  </w:style>
  <w:style w:type="paragraph" w:styleId="NormalWeb">
    <w:name w:val="Normal (Web)"/>
    <w:basedOn w:val="Normal"/>
    <w:uiPriority w:val="99"/>
    <w:semiHidden/>
    <w:unhideWhenUsed/>
    <w:rsid w:val="00B22BC3"/>
    <w:pPr>
      <w:spacing w:before="100" w:beforeAutospacing="1" w:after="100" w:afterAutospacing="1"/>
    </w:pPr>
    <w:rPr>
      <w:rFonts w:ascii="Times New Roman" w:hAnsi="Times New Roman"/>
      <w:sz w:val="24"/>
    </w:rPr>
  </w:style>
  <w:style w:type="paragraph" w:styleId="FootnoteText">
    <w:name w:val="footnote text"/>
    <w:basedOn w:val="Normal"/>
    <w:link w:val="FootnoteTextChar"/>
    <w:uiPriority w:val="99"/>
    <w:unhideWhenUsed/>
    <w:rsid w:val="00647BD9"/>
    <w:rPr>
      <w:sz w:val="20"/>
      <w:szCs w:val="20"/>
    </w:rPr>
  </w:style>
  <w:style w:type="character" w:customStyle="1" w:styleId="FootnoteTextChar">
    <w:name w:val="Footnote Text Char"/>
    <w:basedOn w:val="DefaultParagraphFont"/>
    <w:link w:val="FootnoteText"/>
    <w:uiPriority w:val="99"/>
    <w:rsid w:val="00647BD9"/>
    <w:rPr>
      <w:rFonts w:ascii="Garamond" w:eastAsia="Times New Roman" w:hAnsi="Garamond" w:cs="Times New Roman"/>
      <w:sz w:val="20"/>
      <w:szCs w:val="20"/>
    </w:rPr>
  </w:style>
  <w:style w:type="character" w:styleId="FootnoteReference">
    <w:name w:val="footnote reference"/>
    <w:basedOn w:val="DefaultParagraphFont"/>
    <w:uiPriority w:val="99"/>
    <w:semiHidden/>
    <w:unhideWhenUsed/>
    <w:rsid w:val="00647BD9"/>
    <w:rPr>
      <w:vertAlign w:val="superscript"/>
    </w:rPr>
  </w:style>
  <w:style w:type="character" w:styleId="Hyperlink">
    <w:name w:val="Hyperlink"/>
    <w:rsid w:val="005D45A7"/>
    <w:rPr>
      <w:rFonts w:ascii="Garamond" w:hAnsi="Garamond"/>
      <w:color w:val="333399"/>
      <w:sz w:val="22"/>
      <w:u w:val="single"/>
      <w:vertAlign w:val="baseline"/>
      <w:lang w:val="en-US" w:eastAsia="zh-CN"/>
    </w:rPr>
  </w:style>
</w:styles>
</file>

<file path=word/webSettings.xml><?xml version="1.0" encoding="utf-8"?>
<w:webSettings xmlns:r="http://schemas.openxmlformats.org/officeDocument/2006/relationships" xmlns:w="http://schemas.openxmlformats.org/wordprocessingml/2006/main">
  <w:divs>
    <w:div w:id="608589170">
      <w:bodyDiv w:val="1"/>
      <w:marLeft w:val="0"/>
      <w:marRight w:val="0"/>
      <w:marTop w:val="0"/>
      <w:marBottom w:val="0"/>
      <w:divBdr>
        <w:top w:val="none" w:sz="0" w:space="0" w:color="auto"/>
        <w:left w:val="none" w:sz="0" w:space="0" w:color="auto"/>
        <w:bottom w:val="none" w:sz="0" w:space="0" w:color="auto"/>
        <w:right w:val="none" w:sz="0" w:space="0" w:color="auto"/>
      </w:divBdr>
      <w:divsChild>
        <w:div w:id="24403642">
          <w:marLeft w:val="0"/>
          <w:marRight w:val="0"/>
          <w:marTop w:val="0"/>
          <w:marBottom w:val="0"/>
          <w:divBdr>
            <w:top w:val="none" w:sz="0" w:space="0" w:color="auto"/>
            <w:left w:val="none" w:sz="0" w:space="0" w:color="auto"/>
            <w:bottom w:val="none" w:sz="0" w:space="0" w:color="auto"/>
            <w:right w:val="none" w:sz="0" w:space="0" w:color="auto"/>
          </w:divBdr>
          <w:divsChild>
            <w:div w:id="734277048">
              <w:marLeft w:val="0"/>
              <w:marRight w:val="0"/>
              <w:marTop w:val="0"/>
              <w:marBottom w:val="0"/>
              <w:divBdr>
                <w:top w:val="none" w:sz="0" w:space="0" w:color="auto"/>
                <w:left w:val="none" w:sz="0" w:space="0" w:color="auto"/>
                <w:bottom w:val="none" w:sz="0" w:space="0" w:color="auto"/>
                <w:right w:val="none" w:sz="0" w:space="0" w:color="auto"/>
              </w:divBdr>
              <w:divsChild>
                <w:div w:id="190922804">
                  <w:marLeft w:val="0"/>
                  <w:marRight w:val="0"/>
                  <w:marTop w:val="0"/>
                  <w:marBottom w:val="0"/>
                  <w:divBdr>
                    <w:top w:val="none" w:sz="0" w:space="0" w:color="auto"/>
                    <w:left w:val="none" w:sz="0" w:space="0" w:color="auto"/>
                    <w:bottom w:val="none" w:sz="0" w:space="0" w:color="auto"/>
                    <w:right w:val="none" w:sz="0" w:space="0" w:color="auto"/>
                  </w:divBdr>
                  <w:divsChild>
                    <w:div w:id="1385983724">
                      <w:marLeft w:val="0"/>
                      <w:marRight w:val="0"/>
                      <w:marTop w:val="0"/>
                      <w:marBottom w:val="0"/>
                      <w:divBdr>
                        <w:top w:val="none" w:sz="0" w:space="0" w:color="auto"/>
                        <w:left w:val="none" w:sz="0" w:space="0" w:color="auto"/>
                        <w:bottom w:val="none" w:sz="0" w:space="0" w:color="auto"/>
                        <w:right w:val="none" w:sz="0" w:space="0" w:color="auto"/>
                      </w:divBdr>
                      <w:divsChild>
                        <w:div w:id="23910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l7.org/ctl.cfm?action=ballots.ho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rankins@telligen.org"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ntanagroup.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healthit.hhs.gov/media/faca/MU_RFC%20_2011-01-12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FA070-8BE7-48F4-8DC2-70F809BD2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2756</Words>
  <Characters>15710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Task 4C: Technical Expert Panel Report</vt:lpstr>
    </vt:vector>
  </TitlesOfParts>
  <Company>IFMC</Company>
  <LinksUpToDate>false</LinksUpToDate>
  <CharactersWithSpaces>18430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4C: Technical Expert Panel Report</dc:title>
  <dc:subject>Continuity Assessment Record &amp; Evaluation</dc:subject>
  <dc:creator>eQuality</dc:creator>
  <cp:keywords>eQuality, TEP Report, Task 4c</cp:keywords>
  <cp:lastModifiedBy>Liz Reese</cp:lastModifiedBy>
  <cp:revision>3</cp:revision>
  <cp:lastPrinted>2012-06-21T14:22:00Z</cp:lastPrinted>
  <dcterms:created xsi:type="dcterms:W3CDTF">2012-08-17T17:04:00Z</dcterms:created>
  <dcterms:modified xsi:type="dcterms:W3CDTF">2012-08-21T16:00:00Z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