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Default Extension="xlsx" ContentType="application/vnd.openxmlformats-officedocument.spreadsheetml.sheet"/>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86A" w:rsidRPr="008D7083" w:rsidRDefault="00145405">
      <w:pPr>
        <w:pStyle w:val="Default"/>
        <w:jc w:val="center"/>
        <w:rPr>
          <w:rFonts w:ascii="Times New Roman" w:hAnsi="Times New Roman" w:cs="Times New Roman"/>
          <w:sz w:val="28"/>
          <w:szCs w:val="28"/>
        </w:rPr>
      </w:pPr>
      <w:r>
        <w:rPr>
          <w:rFonts w:ascii="Times New Roman" w:hAnsi="Times New Roman" w:cs="Times New Roman"/>
          <w:noProof/>
          <w:sz w:val="28"/>
          <w:szCs w:val="28"/>
        </w:rPr>
        <w:pict>
          <v:rect id="_x0000_s1026" alt="Text Box" style="position:absolute;left:0;text-align:left;margin-left:9pt;margin-top:-9pt;width:414pt;height:45pt;z-index:-251658240">
            <v:fill opacity="0"/>
          </v:rect>
        </w:pict>
      </w:r>
      <w:r w:rsidR="00FE686A" w:rsidRPr="008D7083">
        <w:rPr>
          <w:rFonts w:ascii="Times New Roman" w:hAnsi="Times New Roman" w:cs="Times New Roman"/>
          <w:sz w:val="28"/>
          <w:szCs w:val="28"/>
        </w:rPr>
        <w:t>Fact Sheet</w:t>
      </w:r>
    </w:p>
    <w:p w:rsidR="00FE686A" w:rsidRPr="00846B41" w:rsidRDefault="00FE686A">
      <w:pPr>
        <w:jc w:val="center"/>
        <w:rPr>
          <w:sz w:val="28"/>
          <w:szCs w:val="28"/>
        </w:rPr>
      </w:pPr>
      <w:r w:rsidRPr="008D7083">
        <w:rPr>
          <w:sz w:val="28"/>
          <w:szCs w:val="28"/>
        </w:rPr>
        <w:t>Original Medicare (Fee-For-Service) Appeals Data - 200</w:t>
      </w:r>
      <w:r w:rsidR="00EE6610">
        <w:rPr>
          <w:sz w:val="28"/>
          <w:szCs w:val="28"/>
        </w:rPr>
        <w:t>9</w:t>
      </w:r>
    </w:p>
    <w:p w:rsidR="00FE686A" w:rsidRPr="00846B41" w:rsidRDefault="00FE686A">
      <w:pPr>
        <w:rPr>
          <w:sz w:val="28"/>
          <w:szCs w:val="28"/>
          <w:u w:val="single"/>
        </w:rPr>
      </w:pPr>
    </w:p>
    <w:p w:rsidR="00FE686A" w:rsidRPr="007E6D9A" w:rsidRDefault="00FE686A">
      <w:pPr>
        <w:pStyle w:val="NormalWeb"/>
        <w:rPr>
          <w:b/>
          <w:u w:val="single"/>
        </w:rPr>
      </w:pPr>
      <w:r w:rsidRPr="007E6D9A">
        <w:rPr>
          <w:rStyle w:val="Strong"/>
          <w:rFonts w:ascii="Times" w:hAnsi="Times"/>
          <w:b w:val="0"/>
          <w:sz w:val="28"/>
          <w:u w:val="single"/>
        </w:rPr>
        <w:t xml:space="preserve">Appeal Rights under Original Medicare </w:t>
      </w:r>
    </w:p>
    <w:p w:rsidR="00FE686A" w:rsidRPr="009E2FF4" w:rsidRDefault="00FE686A">
      <w:pPr>
        <w:pStyle w:val="NormalWeb"/>
        <w:rPr>
          <w:rFonts w:ascii="Times" w:hAnsi="Times"/>
          <w:sz w:val="24"/>
        </w:rPr>
      </w:pPr>
      <w:r>
        <w:rPr>
          <w:rFonts w:ascii="Times" w:hAnsi="Times"/>
          <w:sz w:val="24"/>
        </w:rPr>
        <w:t xml:space="preserve">Individuals </w:t>
      </w:r>
      <w:r w:rsidRPr="009E2FF4">
        <w:rPr>
          <w:rFonts w:ascii="Times" w:hAnsi="Times"/>
          <w:sz w:val="24"/>
        </w:rPr>
        <w:t xml:space="preserve">enrolled in </w:t>
      </w:r>
      <w:r>
        <w:rPr>
          <w:rFonts w:ascii="Times" w:hAnsi="Times"/>
          <w:sz w:val="24"/>
        </w:rPr>
        <w:t>Original Medicare may</w:t>
      </w:r>
      <w:r w:rsidRPr="009E2FF4">
        <w:rPr>
          <w:rFonts w:ascii="Times" w:hAnsi="Times"/>
          <w:sz w:val="24"/>
        </w:rPr>
        <w:t xml:space="preserve"> file an appeal if </w:t>
      </w:r>
      <w:r>
        <w:rPr>
          <w:rFonts w:ascii="Times" w:hAnsi="Times"/>
          <w:sz w:val="24"/>
        </w:rPr>
        <w:t>they</w:t>
      </w:r>
      <w:r w:rsidRPr="009E2FF4">
        <w:rPr>
          <w:rFonts w:ascii="Times" w:hAnsi="Times"/>
          <w:sz w:val="24"/>
        </w:rPr>
        <w:t xml:space="preserve"> </w:t>
      </w:r>
      <w:r>
        <w:rPr>
          <w:rFonts w:ascii="Times" w:hAnsi="Times"/>
          <w:sz w:val="24"/>
        </w:rPr>
        <w:t xml:space="preserve">believe </w:t>
      </w:r>
      <w:r w:rsidRPr="009E2FF4">
        <w:rPr>
          <w:rFonts w:ascii="Times" w:hAnsi="Times"/>
          <w:sz w:val="24"/>
        </w:rPr>
        <w:t xml:space="preserve">Medicare should have paid for, or did not pay enough for, an item or service </w:t>
      </w:r>
      <w:r>
        <w:rPr>
          <w:rFonts w:ascii="Times" w:hAnsi="Times"/>
          <w:sz w:val="24"/>
        </w:rPr>
        <w:t>that they received. An individual’s appeal rights are</w:t>
      </w:r>
      <w:r w:rsidRPr="009E2FF4">
        <w:rPr>
          <w:rFonts w:ascii="Times" w:hAnsi="Times"/>
          <w:sz w:val="24"/>
        </w:rPr>
        <w:t xml:space="preserve"> on the back of the Medicare Summary Notice </w:t>
      </w:r>
      <w:r w:rsidR="0089244F">
        <w:rPr>
          <w:rFonts w:ascii="Times" w:hAnsi="Times"/>
          <w:sz w:val="24"/>
        </w:rPr>
        <w:t xml:space="preserve">(MSN) </w:t>
      </w:r>
      <w:r w:rsidRPr="009E2FF4">
        <w:rPr>
          <w:rFonts w:ascii="Times" w:hAnsi="Times"/>
          <w:sz w:val="24"/>
        </w:rPr>
        <w:t xml:space="preserve">mailed to </w:t>
      </w:r>
      <w:r>
        <w:rPr>
          <w:rFonts w:ascii="Times" w:hAnsi="Times"/>
          <w:sz w:val="24"/>
        </w:rPr>
        <w:t>Medicare beneficiaries after they receive services</w:t>
      </w:r>
      <w:r w:rsidRPr="009E2FF4">
        <w:rPr>
          <w:rFonts w:ascii="Times" w:hAnsi="Times"/>
          <w:sz w:val="24"/>
        </w:rPr>
        <w:t xml:space="preserve">. The </w:t>
      </w:r>
      <w:r w:rsidR="0089244F">
        <w:rPr>
          <w:rFonts w:ascii="Times" w:hAnsi="Times"/>
          <w:sz w:val="24"/>
        </w:rPr>
        <w:t xml:space="preserve">MSN </w:t>
      </w:r>
      <w:r>
        <w:rPr>
          <w:rFonts w:ascii="Times" w:hAnsi="Times"/>
          <w:sz w:val="24"/>
        </w:rPr>
        <w:t>explain</w:t>
      </w:r>
      <w:r w:rsidR="0089244F">
        <w:rPr>
          <w:rFonts w:ascii="Times" w:hAnsi="Times"/>
          <w:sz w:val="24"/>
        </w:rPr>
        <w:t>s</w:t>
      </w:r>
      <w:r>
        <w:rPr>
          <w:rFonts w:ascii="Times" w:hAnsi="Times"/>
          <w:sz w:val="24"/>
        </w:rPr>
        <w:t xml:space="preserve"> </w:t>
      </w:r>
      <w:r w:rsidRPr="009E2FF4">
        <w:rPr>
          <w:rFonts w:ascii="Times" w:hAnsi="Times"/>
          <w:sz w:val="24"/>
        </w:rPr>
        <w:t xml:space="preserve">why </w:t>
      </w:r>
      <w:r>
        <w:rPr>
          <w:rFonts w:ascii="Times" w:hAnsi="Times"/>
          <w:sz w:val="24"/>
        </w:rPr>
        <w:t xml:space="preserve">a </w:t>
      </w:r>
      <w:r w:rsidRPr="009E2FF4">
        <w:rPr>
          <w:rFonts w:ascii="Times" w:hAnsi="Times"/>
          <w:sz w:val="24"/>
        </w:rPr>
        <w:t xml:space="preserve">bill was not paid and </w:t>
      </w:r>
      <w:r>
        <w:rPr>
          <w:rFonts w:ascii="Times" w:hAnsi="Times"/>
          <w:sz w:val="24"/>
        </w:rPr>
        <w:t xml:space="preserve">how to file an appeal. The providers and suppliers of services that file claims on behalf of Medicare beneficiaries may also file appeals. </w:t>
      </w:r>
    </w:p>
    <w:p w:rsidR="00FE686A" w:rsidRDefault="00FE686A">
      <w:pPr>
        <w:rPr>
          <w:sz w:val="28"/>
          <w:szCs w:val="28"/>
          <w:u w:val="single"/>
        </w:rPr>
      </w:pPr>
      <w:r w:rsidRPr="00846B41">
        <w:rPr>
          <w:sz w:val="28"/>
          <w:szCs w:val="28"/>
          <w:u w:val="single"/>
        </w:rPr>
        <w:t>Background on Medicare Contractors</w:t>
      </w:r>
    </w:p>
    <w:p w:rsidR="00FE686A" w:rsidRPr="00846B41" w:rsidRDefault="00FE686A">
      <w:pPr>
        <w:rPr>
          <w:sz w:val="28"/>
          <w:szCs w:val="28"/>
          <w:u w:val="single"/>
        </w:rPr>
      </w:pPr>
    </w:p>
    <w:p w:rsidR="00FE686A" w:rsidRPr="008D7083" w:rsidRDefault="00FE686A">
      <w:proofErr w:type="gramStart"/>
      <w:r>
        <w:t xml:space="preserve">The </w:t>
      </w:r>
      <w:r w:rsidRPr="00846B41">
        <w:t>Centers for Medicare &amp; Medicaid Services (CMS) contract</w:t>
      </w:r>
      <w:r>
        <w:t>s</w:t>
      </w:r>
      <w:r w:rsidRPr="00846B41">
        <w:t xml:space="preserve"> with private insurance companies to perform many functions on behalf of </w:t>
      </w:r>
      <w:r>
        <w:t xml:space="preserve">the </w:t>
      </w:r>
      <w:r w:rsidRPr="00846B41">
        <w:t>Medicare</w:t>
      </w:r>
      <w:r>
        <w:t xml:space="preserve"> program</w:t>
      </w:r>
      <w:r w:rsidRPr="00846B41">
        <w:t xml:space="preserve">, including processing </w:t>
      </w:r>
      <w:r>
        <w:t>claims for Medicare payment and carrying out the first level of the Medicare claims appeals process.</w:t>
      </w:r>
      <w:proofErr w:type="gramEnd"/>
      <w:r>
        <w:t xml:space="preserve">  Historically, these companies have been known as </w:t>
      </w:r>
      <w:r w:rsidRPr="00846B41">
        <w:t>fiscal intermediaries (FIs) for Part A</w:t>
      </w:r>
      <w:r>
        <w:t xml:space="preserve"> services and</w:t>
      </w:r>
      <w:r w:rsidRPr="00846B41">
        <w:t xml:space="preserve"> carriers for Part B</w:t>
      </w:r>
      <w:r>
        <w:t xml:space="preserve"> services; however, as directed by s</w:t>
      </w:r>
      <w:r w:rsidRPr="00846B41">
        <w:t>ection 911 of the Medicare Prescription Drug, Improvement, and Modernization Act (MMA) of 2003</w:t>
      </w:r>
      <w:r>
        <w:t>, both Part A and B work is being integrated under new entities</w:t>
      </w:r>
      <w:r w:rsidRPr="00846B41">
        <w:t xml:space="preserve"> called Medicare Administrative Contractor</w:t>
      </w:r>
      <w:r>
        <w:t>s</w:t>
      </w:r>
      <w:r w:rsidRPr="00846B41">
        <w:t xml:space="preserve"> (MAC</w:t>
      </w:r>
      <w:r>
        <w:t>s</w:t>
      </w:r>
      <w:r w:rsidRPr="00846B41">
        <w:t>)</w:t>
      </w:r>
      <w:r>
        <w:t xml:space="preserve">.  </w:t>
      </w:r>
      <w:r w:rsidRPr="00C43FD9">
        <w:rPr>
          <w:rFonts w:ascii="Times" w:hAnsi="Times"/>
        </w:rPr>
        <w:t>For more information on MAC implementation, see:</w:t>
      </w:r>
      <w:r>
        <w:rPr>
          <w:rFonts w:ascii="Times" w:hAnsi="Times"/>
        </w:rPr>
        <w:t xml:space="preserve"> </w:t>
      </w:r>
      <w:hyperlink r:id="rId6" w:history="1">
        <w:r w:rsidR="00C45C5D" w:rsidRPr="00116505">
          <w:rPr>
            <w:rStyle w:val="Hyperlink"/>
            <w:rFonts w:ascii="Times" w:hAnsi="Times"/>
          </w:rPr>
          <w:t>h</w:t>
        </w:r>
        <w:r w:rsidR="00C45C5D" w:rsidRPr="00116505">
          <w:rPr>
            <w:rStyle w:val="Hyperlink"/>
            <w:rFonts w:ascii="Times" w:hAnsi="Times"/>
            <w:szCs w:val="16"/>
          </w:rPr>
          <w:t>ttp://www.cms.hhs.gov/MedicareContractingReform/</w:t>
        </w:r>
      </w:hyperlink>
      <w:r>
        <w:rPr>
          <w:rFonts w:ascii="Times" w:hAnsi="Times"/>
          <w:szCs w:val="16"/>
        </w:rPr>
        <w:t>.</w:t>
      </w:r>
    </w:p>
    <w:p w:rsidR="00FE686A" w:rsidRDefault="00FE686A"/>
    <w:p w:rsidR="00FE686A" w:rsidRDefault="00FE686A">
      <w:pPr>
        <w:rPr>
          <w:sz w:val="28"/>
          <w:szCs w:val="28"/>
          <w:u w:val="single"/>
        </w:rPr>
      </w:pPr>
      <w:r w:rsidRPr="00846B41">
        <w:rPr>
          <w:sz w:val="28"/>
          <w:szCs w:val="28"/>
          <w:u w:val="single"/>
        </w:rPr>
        <w:t>Original Medicare (Fee-For-Service) Appeals Process</w:t>
      </w:r>
    </w:p>
    <w:p w:rsidR="00FE686A" w:rsidRPr="00846B41" w:rsidRDefault="00FE686A">
      <w:pPr>
        <w:rPr>
          <w:sz w:val="28"/>
          <w:szCs w:val="28"/>
          <w:u w:val="single"/>
        </w:rPr>
      </w:pPr>
    </w:p>
    <w:p w:rsidR="00FE686A" w:rsidRPr="00846B41" w:rsidRDefault="00FE686A">
      <w:r w:rsidRPr="00846B41">
        <w:t>Once a</w:t>
      </w:r>
      <w:r>
        <w:t xml:space="preserve"> Medicare contractor makes a</w:t>
      </w:r>
      <w:r w:rsidRPr="00846B41">
        <w:t>n</w:t>
      </w:r>
      <w:r>
        <w:t xml:space="preserve"> initial decision about whether a service is covered by Medicare and how much to pay for the claim, Medicare </w:t>
      </w:r>
      <w:r w:rsidRPr="00846B41">
        <w:t xml:space="preserve">beneficiaries, providers, and suppliers have the right to appeal </w:t>
      </w:r>
      <w:r>
        <w:t xml:space="preserve">these decisions.  By law, </w:t>
      </w:r>
      <w:r w:rsidRPr="00846B41">
        <w:t>Medicare offers five levels in the Part A and Part B appeals process.  The levels, listed in order, are:</w:t>
      </w:r>
    </w:p>
    <w:p w:rsidR="00FE686A" w:rsidRPr="00846B41" w:rsidRDefault="00FE686A"/>
    <w:p w:rsidR="00FE686A" w:rsidRDefault="00FE686A">
      <w:pPr>
        <w:numPr>
          <w:ilvl w:val="0"/>
          <w:numId w:val="1"/>
        </w:numPr>
      </w:pPr>
      <w:r w:rsidRPr="00846B41">
        <w:t>Redetermination</w:t>
      </w:r>
      <w:r>
        <w:t xml:space="preserve"> </w:t>
      </w:r>
      <w:r w:rsidRPr="00846B41">
        <w:t xml:space="preserve">by the </w:t>
      </w:r>
      <w:r>
        <w:t xml:space="preserve">Medicare payment processor - </w:t>
      </w:r>
      <w:r w:rsidRPr="00846B41">
        <w:t>FI, carrier, or MAC</w:t>
      </w:r>
    </w:p>
    <w:p w:rsidR="00FE686A" w:rsidRDefault="00FE686A">
      <w:pPr>
        <w:numPr>
          <w:ilvl w:val="0"/>
          <w:numId w:val="29"/>
        </w:numPr>
      </w:pPr>
      <w:r>
        <w:t>An individual, provider, or supplier must file an appeal within 120 days of the initial decision on a claim.</w:t>
      </w:r>
    </w:p>
    <w:p w:rsidR="00FE686A" w:rsidRDefault="00FE686A">
      <w:pPr>
        <w:numPr>
          <w:ilvl w:val="0"/>
          <w:numId w:val="33"/>
        </w:numPr>
      </w:pPr>
      <w:r>
        <w:t xml:space="preserve">The FI, carrier, or MAC must issue its decision within 60 days. </w:t>
      </w:r>
    </w:p>
    <w:p w:rsidR="00FE686A" w:rsidRDefault="00FE686A">
      <w:pPr>
        <w:numPr>
          <w:ilvl w:val="0"/>
          <w:numId w:val="1"/>
        </w:numPr>
      </w:pPr>
      <w:r w:rsidRPr="00846B41">
        <w:t>Reconsideration by a Qualified Independent Contractor (QIC)</w:t>
      </w:r>
    </w:p>
    <w:p w:rsidR="00FE686A" w:rsidRDefault="00FE686A">
      <w:pPr>
        <w:numPr>
          <w:ilvl w:val="0"/>
          <w:numId w:val="35"/>
        </w:numPr>
      </w:pPr>
      <w:r>
        <w:t>An individual, provider, or supplier must file an appeal within 180 days of the redetermination.</w:t>
      </w:r>
    </w:p>
    <w:p w:rsidR="00FE686A" w:rsidRDefault="00FE686A">
      <w:pPr>
        <w:numPr>
          <w:ilvl w:val="0"/>
          <w:numId w:val="37"/>
        </w:numPr>
      </w:pPr>
      <w:r>
        <w:t>The QIC must issue its decision within 60 days.</w:t>
      </w:r>
    </w:p>
    <w:p w:rsidR="00FE686A" w:rsidRDefault="00FE686A">
      <w:r>
        <w:br w:type="page"/>
      </w:r>
    </w:p>
    <w:p w:rsidR="00FE686A" w:rsidRDefault="00FE686A">
      <w:pPr>
        <w:numPr>
          <w:ilvl w:val="0"/>
          <w:numId w:val="1"/>
        </w:numPr>
      </w:pPr>
      <w:r w:rsidRPr="00846B41">
        <w:lastRenderedPageBreak/>
        <w:t>Hearing by an Administrative Law Judge (ALJ)</w:t>
      </w:r>
      <w:r>
        <w:t xml:space="preserve"> </w:t>
      </w:r>
    </w:p>
    <w:p w:rsidR="00FE686A" w:rsidRDefault="00FE686A">
      <w:pPr>
        <w:numPr>
          <w:ilvl w:val="0"/>
          <w:numId w:val="41"/>
        </w:numPr>
      </w:pPr>
      <w:r>
        <w:t>An individual, provider, or supplier must file an appeal within 60 days of the QIC’s reconsideration, provided that the case involves at least $120 in dispute.</w:t>
      </w:r>
    </w:p>
    <w:p w:rsidR="00FE686A" w:rsidRPr="00846B41" w:rsidRDefault="00FE686A">
      <w:pPr>
        <w:numPr>
          <w:ilvl w:val="0"/>
          <w:numId w:val="39"/>
        </w:numPr>
      </w:pPr>
      <w:r>
        <w:t>The ALJ must issue a decision within 90 days.</w:t>
      </w:r>
    </w:p>
    <w:p w:rsidR="00FE686A" w:rsidRDefault="00FE686A">
      <w:pPr>
        <w:numPr>
          <w:ilvl w:val="0"/>
          <w:numId w:val="1"/>
        </w:numPr>
      </w:pPr>
      <w:r w:rsidRPr="00846B41">
        <w:t>Review by the Medicare Appeals Council with</w:t>
      </w:r>
      <w:r>
        <w:t>in</w:t>
      </w:r>
      <w:r w:rsidRPr="00846B41">
        <w:t xml:space="preserve"> the Departmental Appeals Board</w:t>
      </w:r>
    </w:p>
    <w:p w:rsidR="00FE686A" w:rsidRDefault="00FE686A">
      <w:pPr>
        <w:numPr>
          <w:ilvl w:val="0"/>
          <w:numId w:val="43"/>
        </w:numPr>
      </w:pPr>
      <w:r>
        <w:t>An individual, provider, or supplier must file an appeal within 60 days of the ALJ’s decision.</w:t>
      </w:r>
    </w:p>
    <w:p w:rsidR="00FE686A" w:rsidRPr="00846B41" w:rsidRDefault="00FE686A">
      <w:pPr>
        <w:numPr>
          <w:ilvl w:val="0"/>
          <w:numId w:val="45"/>
        </w:numPr>
      </w:pPr>
      <w:r>
        <w:t>The Medicare Appeals Council must issue a decision within 90 days.</w:t>
      </w:r>
    </w:p>
    <w:p w:rsidR="00FE686A" w:rsidRPr="00846B41" w:rsidRDefault="00FE686A">
      <w:pPr>
        <w:numPr>
          <w:ilvl w:val="0"/>
          <w:numId w:val="1"/>
        </w:numPr>
      </w:pPr>
      <w:r w:rsidRPr="00846B41">
        <w:t>Judicial Review in U.S. District Court</w:t>
      </w:r>
      <w:r>
        <w:t xml:space="preserve">--An individual has 60 days to file for judicial review, provided that at least $1,180 remains in dispute. </w:t>
      </w:r>
    </w:p>
    <w:p w:rsidR="00FE686A" w:rsidRPr="00846B41" w:rsidRDefault="00FE686A"/>
    <w:p w:rsidR="00FE686A" w:rsidRDefault="00FE686A">
      <w:r w:rsidRPr="00846B41">
        <w:t>Please click on the following link for more information on each level in the appeals process</w:t>
      </w:r>
      <w:r>
        <w:t>:</w:t>
      </w:r>
      <w:r w:rsidRPr="00846B41">
        <w:t xml:space="preserve"> </w:t>
      </w:r>
      <w:hyperlink r:id="rId7" w:history="1">
        <w:r w:rsidRPr="001D7574">
          <w:rPr>
            <w:rStyle w:val="Hyperlink"/>
            <w:rFonts w:ascii="Times" w:hAnsi="Times"/>
            <w:szCs w:val="16"/>
          </w:rPr>
          <w:t>http://www.cms.hhs.gov/OrgMedFFSAppeals</w:t>
        </w:r>
      </w:hyperlink>
      <w:r>
        <w:rPr>
          <w:rFonts w:ascii="Times" w:hAnsi="Times"/>
          <w:szCs w:val="16"/>
        </w:rPr>
        <w:t>.</w:t>
      </w:r>
      <w:r>
        <w:t xml:space="preserve"> </w:t>
      </w:r>
    </w:p>
    <w:p w:rsidR="00FE686A" w:rsidRPr="00604A80" w:rsidRDefault="00FE686A"/>
    <w:p w:rsidR="00FE686A" w:rsidRPr="00846B41" w:rsidRDefault="00FE686A">
      <w:pPr>
        <w:rPr>
          <w:sz w:val="28"/>
          <w:szCs w:val="28"/>
          <w:u w:val="single"/>
        </w:rPr>
      </w:pPr>
      <w:r w:rsidRPr="00846B41">
        <w:rPr>
          <w:sz w:val="28"/>
          <w:szCs w:val="28"/>
          <w:u w:val="single"/>
        </w:rPr>
        <w:t>Redeterminations</w:t>
      </w:r>
    </w:p>
    <w:p w:rsidR="00FE686A" w:rsidRDefault="00FE686A"/>
    <w:p w:rsidR="00FE686A" w:rsidRPr="00846B41" w:rsidRDefault="00FE686A">
      <w:r>
        <w:t>In 200</w:t>
      </w:r>
      <w:r w:rsidR="00EE6610">
        <w:t>9</w:t>
      </w:r>
      <w:r>
        <w:t xml:space="preserve">, </w:t>
      </w:r>
      <w:r w:rsidRPr="00846B41">
        <w:t xml:space="preserve">FIs and </w:t>
      </w:r>
      <w:r w:rsidR="00035DC1">
        <w:t xml:space="preserve">Part </w:t>
      </w:r>
      <w:proofErr w:type="gramStart"/>
      <w:r w:rsidR="002F1C69">
        <w:t>A</w:t>
      </w:r>
      <w:proofErr w:type="gramEnd"/>
      <w:r w:rsidR="002F1C69">
        <w:t xml:space="preserve"> </w:t>
      </w:r>
      <w:r w:rsidRPr="00846B41">
        <w:t>MACs processed over 1</w:t>
      </w:r>
      <w:r w:rsidR="00035DC1">
        <w:t>9</w:t>
      </w:r>
      <w:r w:rsidR="00EE6610">
        <w:t>2</w:t>
      </w:r>
      <w:r w:rsidRPr="00846B41">
        <w:t xml:space="preserve"> million claims</w:t>
      </w:r>
      <w:r w:rsidR="00B25AE2">
        <w:t>*</w:t>
      </w:r>
      <w:r>
        <w:t xml:space="preserve"> for services furnished by hospitals, skilled nursing facilities, home health agencies, and other providers. Of these claims, approximately</w:t>
      </w:r>
      <w:r w:rsidRPr="00846B41">
        <w:t xml:space="preserve"> 1</w:t>
      </w:r>
      <w:r w:rsidR="00EE6610">
        <w:t>4</w:t>
      </w:r>
      <w:r w:rsidR="00FD5F0D">
        <w:t>.</w:t>
      </w:r>
      <w:r w:rsidR="00EE6610">
        <w:t>3</w:t>
      </w:r>
      <w:r w:rsidRPr="00846B41">
        <w:t xml:space="preserve"> million were </w:t>
      </w:r>
      <w:r>
        <w:t>denied (e.g., services not covered, services not medically necessary, etc.)</w:t>
      </w:r>
      <w:r w:rsidRPr="00846B41">
        <w:t xml:space="preserve">.  FIs and </w:t>
      </w:r>
      <w:r w:rsidR="00035DC1">
        <w:t xml:space="preserve">Part </w:t>
      </w:r>
      <w:proofErr w:type="gramStart"/>
      <w:r w:rsidR="00035DC1">
        <w:t>A</w:t>
      </w:r>
      <w:proofErr w:type="gramEnd"/>
      <w:r w:rsidR="00035DC1">
        <w:t xml:space="preserve"> </w:t>
      </w:r>
      <w:r w:rsidRPr="00846B41">
        <w:t xml:space="preserve">MACs </w:t>
      </w:r>
      <w:r>
        <w:t xml:space="preserve">carried out approximately </w:t>
      </w:r>
      <w:r w:rsidRPr="00846B41">
        <w:t>2</w:t>
      </w:r>
      <w:r w:rsidR="00A63437">
        <w:t>23</w:t>
      </w:r>
      <w:r w:rsidRPr="00846B41">
        <w:t xml:space="preserve">,000 </w:t>
      </w:r>
      <w:r>
        <w:t xml:space="preserve">Part A </w:t>
      </w:r>
      <w:r w:rsidRPr="00846B41">
        <w:t>redetermination</w:t>
      </w:r>
      <w:r>
        <w:t>s in 200</w:t>
      </w:r>
      <w:r w:rsidR="00A63437">
        <w:t>9</w:t>
      </w:r>
      <w:r>
        <w:t xml:space="preserve">, meaning that about </w:t>
      </w:r>
      <w:r w:rsidRPr="00720AA1">
        <w:rPr>
          <w:color w:val="000000"/>
        </w:rPr>
        <w:t>1.</w:t>
      </w:r>
      <w:r w:rsidR="00A63437">
        <w:rPr>
          <w:color w:val="000000"/>
        </w:rPr>
        <w:t>1</w:t>
      </w:r>
      <w:r>
        <w:t xml:space="preserve"> percent of these denials resulted in requests for an appeal.</w:t>
      </w:r>
    </w:p>
    <w:p w:rsidR="00FE686A" w:rsidRPr="00846B41" w:rsidRDefault="00FE686A"/>
    <w:p w:rsidR="00FE686A" w:rsidRPr="00846B41" w:rsidRDefault="00FE686A">
      <w:pPr>
        <w:autoSpaceDE w:val="0"/>
        <w:autoSpaceDN w:val="0"/>
        <w:adjustRightInd w:val="0"/>
      </w:pPr>
      <w:r w:rsidRPr="00846B41">
        <w:t xml:space="preserve">Carriers and </w:t>
      </w:r>
      <w:r w:rsidR="00035DC1">
        <w:t xml:space="preserve">Part B </w:t>
      </w:r>
      <w:r w:rsidRPr="00846B41">
        <w:t>MACs processed over 9</w:t>
      </w:r>
      <w:r w:rsidR="00A63437">
        <w:t>17</w:t>
      </w:r>
      <w:r w:rsidRPr="00846B41">
        <w:t xml:space="preserve"> million claims, of which </w:t>
      </w:r>
      <w:r>
        <w:t>1</w:t>
      </w:r>
      <w:r w:rsidR="00A63437">
        <w:t>04</w:t>
      </w:r>
      <w:r w:rsidRPr="00846B41">
        <w:t xml:space="preserve"> million were denied.  </w:t>
      </w:r>
      <w:r w:rsidR="000C4C88">
        <w:t>DME MACs processed over 7</w:t>
      </w:r>
      <w:r w:rsidR="00A63437">
        <w:t>4</w:t>
      </w:r>
      <w:r w:rsidR="000C4C88">
        <w:t xml:space="preserve"> million claims of which 1</w:t>
      </w:r>
      <w:r w:rsidR="00A63437">
        <w:t>0</w:t>
      </w:r>
      <w:r w:rsidR="000C4C88">
        <w:t xml:space="preserve"> million were denied.  </w:t>
      </w:r>
      <w:r w:rsidRPr="00846B41">
        <w:t>Carriers</w:t>
      </w:r>
      <w:r w:rsidR="007C43C2">
        <w:t xml:space="preserve">, </w:t>
      </w:r>
      <w:r w:rsidR="00035DC1">
        <w:t xml:space="preserve">Part B </w:t>
      </w:r>
      <w:r w:rsidR="007C43C2">
        <w:t>MACs</w:t>
      </w:r>
      <w:r w:rsidRPr="00846B41">
        <w:t xml:space="preserve"> and </w:t>
      </w:r>
      <w:r w:rsidR="007C43C2">
        <w:t xml:space="preserve">DME </w:t>
      </w:r>
      <w:r w:rsidRPr="00846B41">
        <w:t xml:space="preserve">MACs </w:t>
      </w:r>
      <w:r>
        <w:t xml:space="preserve">carried out </w:t>
      </w:r>
      <w:r w:rsidRPr="00846B41">
        <w:t xml:space="preserve">approximately </w:t>
      </w:r>
      <w:r w:rsidR="00035DC1">
        <w:t>2.</w:t>
      </w:r>
      <w:r w:rsidR="002A60E6">
        <w:t>4</w:t>
      </w:r>
      <w:r w:rsidR="00EC753F">
        <w:t xml:space="preserve"> </w:t>
      </w:r>
      <w:r w:rsidR="00757ADB">
        <w:t>million Part</w:t>
      </w:r>
      <w:r w:rsidR="00EC753F">
        <w:t xml:space="preserve"> B redeterminations in 200</w:t>
      </w:r>
      <w:r w:rsidR="003A4BE8">
        <w:t>9</w:t>
      </w:r>
      <w:r w:rsidR="00035DC1">
        <w:t>, meaning that about 1.</w:t>
      </w:r>
      <w:r w:rsidR="003A4BE8">
        <w:t>2</w:t>
      </w:r>
      <w:r w:rsidR="00035DC1">
        <w:t xml:space="preserve"> percent of these denials resulted in requests for an appeal.</w:t>
      </w:r>
    </w:p>
    <w:p w:rsidR="00FE686A" w:rsidRDefault="00FE686A">
      <w:pPr>
        <w:autoSpaceDE w:val="0"/>
        <w:autoSpaceDN w:val="0"/>
        <w:adjustRightInd w:val="0"/>
      </w:pPr>
    </w:p>
    <w:p w:rsidR="00FE686A" w:rsidRDefault="00FE686A">
      <w:pPr>
        <w:autoSpaceDE w:val="0"/>
        <w:autoSpaceDN w:val="0"/>
        <w:adjustRightInd w:val="0"/>
      </w:pPr>
      <w:r w:rsidRPr="00846B41">
        <w:t xml:space="preserve">Please click on the following link for more information on </w:t>
      </w:r>
      <w:r>
        <w:t>redeterminations</w:t>
      </w:r>
      <w:r w:rsidRPr="00846B41">
        <w:t>.</w:t>
      </w:r>
    </w:p>
    <w:p w:rsidR="00FE686A" w:rsidRPr="00B25AE2" w:rsidRDefault="00145405">
      <w:pPr>
        <w:autoSpaceDE w:val="0"/>
        <w:autoSpaceDN w:val="0"/>
        <w:adjustRightInd w:val="0"/>
        <w:rPr>
          <w:sz w:val="22"/>
          <w:szCs w:val="22"/>
        </w:rPr>
      </w:pPr>
      <w:hyperlink r:id="rId8" w:anchor="TopOfPage" w:history="1">
        <w:r w:rsidR="00B25AE2" w:rsidRPr="00B674CC">
          <w:rPr>
            <w:rStyle w:val="Hyperlink"/>
            <w:sz w:val="22"/>
            <w:szCs w:val="22"/>
          </w:rPr>
          <w:t>http://www.cms.hhs.gov/OrgMedFFSAppeals/02_RedeterminationbyaMedicareContractor.asp#TopOfPage</w:t>
        </w:r>
      </w:hyperlink>
    </w:p>
    <w:p w:rsidR="00FE686A" w:rsidRDefault="00FE686A">
      <w:pPr>
        <w:autoSpaceDE w:val="0"/>
        <w:autoSpaceDN w:val="0"/>
        <w:adjustRightInd w:val="0"/>
        <w:rPr>
          <w:sz w:val="16"/>
          <w:szCs w:val="16"/>
        </w:rPr>
      </w:pPr>
    </w:p>
    <w:p w:rsidR="00FE686A" w:rsidRPr="00B25AE2" w:rsidRDefault="00FE686A">
      <w:pPr>
        <w:autoSpaceDE w:val="0"/>
        <w:autoSpaceDN w:val="0"/>
        <w:adjustRightInd w:val="0"/>
        <w:rPr>
          <w:sz w:val="20"/>
          <w:szCs w:val="20"/>
        </w:rPr>
      </w:pPr>
      <w:r w:rsidRPr="00B25AE2">
        <w:rPr>
          <w:sz w:val="20"/>
          <w:szCs w:val="20"/>
        </w:rPr>
        <w:t xml:space="preserve">*While these include claims for Medicare Parts </w:t>
      </w:r>
      <w:proofErr w:type="gramStart"/>
      <w:r w:rsidRPr="00B25AE2">
        <w:rPr>
          <w:sz w:val="20"/>
          <w:szCs w:val="20"/>
        </w:rPr>
        <w:t>A</w:t>
      </w:r>
      <w:proofErr w:type="gramEnd"/>
      <w:r w:rsidRPr="00B25AE2">
        <w:rPr>
          <w:sz w:val="20"/>
          <w:szCs w:val="20"/>
        </w:rPr>
        <w:t xml:space="preserve"> &amp; B, for ease of reference, we refer to appeals of these types of claims as “Part A</w:t>
      </w:r>
      <w:r w:rsidR="008C7EB1" w:rsidRPr="00B25AE2">
        <w:rPr>
          <w:sz w:val="20"/>
          <w:szCs w:val="20"/>
        </w:rPr>
        <w:t>.</w:t>
      </w:r>
      <w:r w:rsidRPr="00B25AE2">
        <w:rPr>
          <w:sz w:val="20"/>
          <w:szCs w:val="20"/>
        </w:rPr>
        <w:t>”</w:t>
      </w:r>
    </w:p>
    <w:p w:rsidR="00FE686A" w:rsidRPr="00B25AE2" w:rsidRDefault="00FE686A">
      <w:pPr>
        <w:autoSpaceDE w:val="0"/>
        <w:autoSpaceDN w:val="0"/>
        <w:adjustRightInd w:val="0"/>
        <w:rPr>
          <w:sz w:val="20"/>
          <w:szCs w:val="20"/>
        </w:rPr>
      </w:pPr>
    </w:p>
    <w:p w:rsidR="00FE686A" w:rsidRPr="00846B41" w:rsidRDefault="00FE686A">
      <w:pPr>
        <w:autoSpaceDE w:val="0"/>
        <w:autoSpaceDN w:val="0"/>
        <w:adjustRightInd w:val="0"/>
        <w:jc w:val="center"/>
        <w:rPr>
          <w:color w:val="000000"/>
          <w:sz w:val="32"/>
          <w:szCs w:val="32"/>
          <w:u w:val="single"/>
        </w:rPr>
      </w:pPr>
      <w:r>
        <w:rPr>
          <w:color w:val="000000"/>
          <w:sz w:val="32"/>
          <w:szCs w:val="32"/>
          <w:u w:val="single"/>
        </w:rPr>
        <w:br w:type="page"/>
      </w:r>
      <w:r w:rsidR="00D87EB4">
        <w:rPr>
          <w:color w:val="000000"/>
          <w:sz w:val="32"/>
          <w:szCs w:val="32"/>
          <w:u w:val="single"/>
        </w:rPr>
        <w:lastRenderedPageBreak/>
        <w:t>200</w:t>
      </w:r>
      <w:r w:rsidR="003A4BE8">
        <w:rPr>
          <w:color w:val="000000"/>
          <w:sz w:val="32"/>
          <w:szCs w:val="32"/>
          <w:u w:val="single"/>
        </w:rPr>
        <w:t>9</w:t>
      </w:r>
      <w:r w:rsidR="00D87EB4">
        <w:rPr>
          <w:color w:val="000000"/>
          <w:sz w:val="32"/>
          <w:szCs w:val="32"/>
          <w:u w:val="single"/>
        </w:rPr>
        <w:t xml:space="preserve"> </w:t>
      </w:r>
      <w:r w:rsidRPr="00846B41">
        <w:rPr>
          <w:color w:val="000000"/>
          <w:sz w:val="32"/>
          <w:szCs w:val="32"/>
          <w:u w:val="single"/>
        </w:rPr>
        <w:t>Redetermination Categories</w:t>
      </w:r>
    </w:p>
    <w:p w:rsidR="00FE686A" w:rsidRPr="00846B41" w:rsidRDefault="00FE686A">
      <w:pPr>
        <w:autoSpaceDE w:val="0"/>
        <w:autoSpaceDN w:val="0"/>
        <w:adjustRightInd w:val="0"/>
        <w:rPr>
          <w:color w:val="000000"/>
          <w:sz w:val="22"/>
          <w:szCs w:val="22"/>
        </w:rPr>
      </w:pPr>
    </w:p>
    <w:p w:rsidR="00FE686A" w:rsidRDefault="00FE686A">
      <w:pPr>
        <w:autoSpaceDE w:val="0"/>
        <w:autoSpaceDN w:val="0"/>
        <w:adjustRightInd w:val="0"/>
        <w:rPr>
          <w:color w:val="000000"/>
          <w:sz w:val="28"/>
          <w:szCs w:val="28"/>
        </w:rPr>
        <w:sectPr w:rsidR="00FE686A">
          <w:pgSz w:w="12240" w:h="15840"/>
          <w:pgMar w:top="1440" w:right="1800" w:bottom="1440" w:left="1800" w:header="720" w:footer="720" w:gutter="0"/>
          <w:cols w:space="720"/>
          <w:noEndnote/>
        </w:sectPr>
      </w:pPr>
    </w:p>
    <w:p w:rsidR="0051118B" w:rsidRDefault="00D87EB4">
      <w:pPr>
        <w:autoSpaceDE w:val="0"/>
        <w:autoSpaceDN w:val="0"/>
        <w:adjustRightInd w:val="0"/>
        <w:jc w:val="center"/>
        <w:rPr>
          <w:color w:val="000000"/>
          <w:sz w:val="28"/>
          <w:szCs w:val="28"/>
        </w:rPr>
      </w:pPr>
      <w:r>
        <w:rPr>
          <w:color w:val="000000"/>
          <w:sz w:val="28"/>
          <w:szCs w:val="28"/>
        </w:rPr>
        <w:lastRenderedPageBreak/>
        <w:t xml:space="preserve">Redetermination </w:t>
      </w:r>
      <w:r w:rsidR="00FE686A" w:rsidRPr="00846B41">
        <w:rPr>
          <w:color w:val="000000"/>
          <w:sz w:val="28"/>
          <w:szCs w:val="28"/>
        </w:rPr>
        <w:t xml:space="preserve">Categories – </w:t>
      </w:r>
    </w:p>
    <w:p w:rsidR="00FE686A" w:rsidRDefault="00FE686A">
      <w:pPr>
        <w:autoSpaceDE w:val="0"/>
        <w:autoSpaceDN w:val="0"/>
        <w:adjustRightInd w:val="0"/>
        <w:jc w:val="center"/>
        <w:rPr>
          <w:color w:val="000000"/>
          <w:sz w:val="28"/>
          <w:szCs w:val="28"/>
        </w:rPr>
      </w:pPr>
      <w:r w:rsidRPr="00846B41">
        <w:rPr>
          <w:color w:val="000000"/>
          <w:sz w:val="28"/>
          <w:szCs w:val="28"/>
        </w:rPr>
        <w:t>Part A</w:t>
      </w:r>
    </w:p>
    <w:p w:rsidR="0051118B" w:rsidRDefault="00D87EB4">
      <w:pPr>
        <w:autoSpaceDE w:val="0"/>
        <w:autoSpaceDN w:val="0"/>
        <w:adjustRightInd w:val="0"/>
        <w:jc w:val="center"/>
        <w:rPr>
          <w:color w:val="000000"/>
          <w:sz w:val="28"/>
          <w:szCs w:val="28"/>
        </w:rPr>
      </w:pPr>
      <w:r>
        <w:rPr>
          <w:color w:val="000000"/>
          <w:sz w:val="28"/>
          <w:szCs w:val="28"/>
        </w:rPr>
        <w:lastRenderedPageBreak/>
        <w:t>Redetermination</w:t>
      </w:r>
      <w:r w:rsidR="0051118B">
        <w:rPr>
          <w:color w:val="000000"/>
          <w:sz w:val="28"/>
          <w:szCs w:val="28"/>
        </w:rPr>
        <w:t xml:space="preserve"> </w:t>
      </w:r>
      <w:r w:rsidR="00FE686A" w:rsidRPr="00846B41">
        <w:rPr>
          <w:color w:val="000000"/>
          <w:sz w:val="28"/>
          <w:szCs w:val="28"/>
        </w:rPr>
        <w:t xml:space="preserve">Categories – </w:t>
      </w:r>
    </w:p>
    <w:p w:rsidR="00FE686A" w:rsidRPr="00846B41" w:rsidRDefault="00FE686A">
      <w:pPr>
        <w:autoSpaceDE w:val="0"/>
        <w:autoSpaceDN w:val="0"/>
        <w:adjustRightInd w:val="0"/>
        <w:jc w:val="center"/>
        <w:rPr>
          <w:color w:val="000000"/>
          <w:sz w:val="22"/>
          <w:szCs w:val="22"/>
        </w:rPr>
      </w:pPr>
      <w:r w:rsidRPr="00846B41">
        <w:rPr>
          <w:color w:val="000000"/>
          <w:sz w:val="28"/>
          <w:szCs w:val="28"/>
        </w:rPr>
        <w:t>Part B</w:t>
      </w:r>
    </w:p>
    <w:p w:rsidR="00FE686A" w:rsidRDefault="00FE686A">
      <w:pPr>
        <w:autoSpaceDE w:val="0"/>
        <w:autoSpaceDN w:val="0"/>
        <w:adjustRightInd w:val="0"/>
        <w:rPr>
          <w:color w:val="000000"/>
          <w:sz w:val="14"/>
          <w:szCs w:val="14"/>
        </w:rPr>
        <w:sectPr w:rsidR="00FE686A">
          <w:type w:val="continuous"/>
          <w:pgSz w:w="12240" w:h="15840"/>
          <w:pgMar w:top="1440" w:right="1800" w:bottom="1080" w:left="1800" w:header="720" w:footer="720" w:gutter="0"/>
          <w:cols w:num="2" w:space="720"/>
          <w:noEndnote/>
        </w:sectPr>
      </w:pPr>
    </w:p>
    <w:tbl>
      <w:tblPr>
        <w:tblpPr w:leftFromText="180" w:rightFromText="180" w:vertAnchor="text" w:horzAnchor="margin" w:tblpXSpec="right" w:tblpY="72"/>
        <w:tblW w:w="3985" w:type="dxa"/>
        <w:tblCellSpacing w:w="0" w:type="dxa"/>
        <w:tblCellMar>
          <w:left w:w="0" w:type="dxa"/>
          <w:right w:w="0" w:type="dxa"/>
        </w:tblCellMar>
        <w:tblLook w:val="0000"/>
      </w:tblPr>
      <w:tblGrid>
        <w:gridCol w:w="1990"/>
        <w:gridCol w:w="1080"/>
        <w:gridCol w:w="915"/>
      </w:tblGrid>
      <w:tr w:rsidR="00FE686A" w:rsidRPr="00846B41">
        <w:trPr>
          <w:trHeight w:val="350"/>
          <w:tblCellSpacing w:w="0" w:type="dxa"/>
        </w:trPr>
        <w:tc>
          <w:tcPr>
            <w:tcW w:w="1990" w:type="dxa"/>
            <w:tcBorders>
              <w:top w:val="single" w:sz="4" w:space="0" w:color="000000"/>
              <w:left w:val="single" w:sz="4" w:space="0" w:color="000000"/>
              <w:bottom w:val="single" w:sz="4" w:space="0" w:color="000000"/>
              <w:right w:val="single" w:sz="4" w:space="0" w:color="000000"/>
            </w:tcBorders>
            <w:shd w:val="clear" w:color="auto" w:fill="800000"/>
            <w:vAlign w:val="bottom"/>
          </w:tcPr>
          <w:p w:rsidR="00FE686A" w:rsidRDefault="0051118B" w:rsidP="0051118B">
            <w:pPr>
              <w:autoSpaceDE w:val="0"/>
              <w:autoSpaceDN w:val="0"/>
              <w:adjustRightInd w:val="0"/>
              <w:jc w:val="center"/>
              <w:rPr>
                <w:b/>
                <w:bCs/>
                <w:color w:val="FFFFFF"/>
                <w:sz w:val="22"/>
                <w:szCs w:val="22"/>
              </w:rPr>
            </w:pPr>
            <w:r>
              <w:rPr>
                <w:b/>
                <w:bCs/>
                <w:color w:val="FFFFFF"/>
                <w:sz w:val="22"/>
                <w:szCs w:val="22"/>
              </w:rPr>
              <w:t xml:space="preserve">Appeal </w:t>
            </w:r>
            <w:r w:rsidR="00FE686A" w:rsidRPr="00846B41">
              <w:rPr>
                <w:b/>
                <w:bCs/>
                <w:color w:val="FFFFFF"/>
                <w:sz w:val="22"/>
                <w:szCs w:val="22"/>
              </w:rPr>
              <w:t>Category</w:t>
            </w:r>
          </w:p>
          <w:p w:rsidR="0051118B" w:rsidRPr="00846B41" w:rsidRDefault="0051118B" w:rsidP="0051118B">
            <w:pPr>
              <w:autoSpaceDE w:val="0"/>
              <w:autoSpaceDN w:val="0"/>
              <w:adjustRightInd w:val="0"/>
              <w:jc w:val="center"/>
              <w:rPr>
                <w:color w:val="FFFFFF"/>
                <w:sz w:val="22"/>
                <w:szCs w:val="22"/>
              </w:rPr>
            </w:pPr>
          </w:p>
        </w:tc>
        <w:tc>
          <w:tcPr>
            <w:tcW w:w="1080" w:type="dxa"/>
            <w:tcBorders>
              <w:top w:val="single" w:sz="4" w:space="0" w:color="000000"/>
              <w:left w:val="single" w:sz="4" w:space="0" w:color="000000"/>
              <w:bottom w:val="single" w:sz="4" w:space="0" w:color="000000"/>
              <w:right w:val="single" w:sz="4" w:space="0" w:color="000000"/>
            </w:tcBorders>
            <w:shd w:val="clear" w:color="auto" w:fill="800000"/>
            <w:vAlign w:val="bottom"/>
          </w:tcPr>
          <w:p w:rsidR="00FE686A" w:rsidRPr="00846B41" w:rsidRDefault="00FE686A">
            <w:pPr>
              <w:autoSpaceDE w:val="0"/>
              <w:autoSpaceDN w:val="0"/>
              <w:adjustRightInd w:val="0"/>
              <w:jc w:val="center"/>
              <w:rPr>
                <w:color w:val="FFFFFF"/>
                <w:sz w:val="22"/>
                <w:szCs w:val="22"/>
              </w:rPr>
            </w:pPr>
            <w:r w:rsidRPr="00846B41">
              <w:rPr>
                <w:b/>
                <w:bCs/>
                <w:color w:val="FFFFFF"/>
                <w:sz w:val="22"/>
                <w:szCs w:val="22"/>
              </w:rPr>
              <w:t>Decided Claims</w:t>
            </w:r>
          </w:p>
        </w:tc>
        <w:tc>
          <w:tcPr>
            <w:tcW w:w="915" w:type="dxa"/>
            <w:tcBorders>
              <w:top w:val="single" w:sz="4" w:space="0" w:color="000000"/>
              <w:left w:val="single" w:sz="4" w:space="0" w:color="000000"/>
              <w:bottom w:val="single" w:sz="4" w:space="0" w:color="000000"/>
              <w:right w:val="single" w:sz="4" w:space="0" w:color="000000"/>
            </w:tcBorders>
            <w:shd w:val="clear" w:color="auto" w:fill="800000"/>
            <w:vAlign w:val="bottom"/>
          </w:tcPr>
          <w:p w:rsidR="00FE686A" w:rsidRDefault="00FE686A">
            <w:pPr>
              <w:autoSpaceDE w:val="0"/>
              <w:autoSpaceDN w:val="0"/>
              <w:adjustRightInd w:val="0"/>
              <w:jc w:val="center"/>
              <w:rPr>
                <w:b/>
                <w:bCs/>
                <w:color w:val="FFFFFF"/>
                <w:sz w:val="22"/>
                <w:szCs w:val="22"/>
              </w:rPr>
            </w:pPr>
            <w:r w:rsidRPr="00846B41">
              <w:rPr>
                <w:b/>
                <w:bCs/>
                <w:color w:val="FFFFFF"/>
                <w:sz w:val="22"/>
                <w:szCs w:val="22"/>
              </w:rPr>
              <w:t>Percent</w:t>
            </w:r>
          </w:p>
          <w:p w:rsidR="0051118B" w:rsidRPr="00846B41" w:rsidRDefault="0051118B">
            <w:pPr>
              <w:autoSpaceDE w:val="0"/>
              <w:autoSpaceDN w:val="0"/>
              <w:adjustRightInd w:val="0"/>
              <w:jc w:val="center"/>
              <w:rPr>
                <w:color w:val="FFFFFF"/>
                <w:sz w:val="22"/>
                <w:szCs w:val="22"/>
              </w:rPr>
            </w:pPr>
          </w:p>
        </w:tc>
      </w:tr>
      <w:tr w:rsidR="00FE686A" w:rsidRPr="00846B41">
        <w:trPr>
          <w:trHeight w:val="312"/>
          <w:tblCellSpacing w:w="0" w:type="dxa"/>
        </w:trPr>
        <w:tc>
          <w:tcPr>
            <w:tcW w:w="19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pPr>
              <w:autoSpaceDE w:val="0"/>
              <w:autoSpaceDN w:val="0"/>
              <w:adjustRightInd w:val="0"/>
              <w:jc w:val="center"/>
              <w:rPr>
                <w:color w:val="000000"/>
                <w:sz w:val="22"/>
                <w:szCs w:val="22"/>
              </w:rPr>
            </w:pPr>
            <w:r w:rsidRPr="00846B41">
              <w:rPr>
                <w:b/>
                <w:bCs/>
                <w:color w:val="000000"/>
                <w:sz w:val="22"/>
                <w:szCs w:val="22"/>
              </w:rPr>
              <w:t>Physician</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311E0B" w:rsidRDefault="00B6015C" w:rsidP="003E24B8">
            <w:pPr>
              <w:autoSpaceDE w:val="0"/>
              <w:autoSpaceDN w:val="0"/>
              <w:adjustRightInd w:val="0"/>
              <w:jc w:val="center"/>
              <w:rPr>
                <w:b/>
                <w:color w:val="000000"/>
                <w:sz w:val="22"/>
                <w:szCs w:val="22"/>
              </w:rPr>
            </w:pPr>
            <w:r w:rsidRPr="00311E0B">
              <w:rPr>
                <w:b/>
                <w:color w:val="000000"/>
                <w:sz w:val="22"/>
                <w:szCs w:val="22"/>
              </w:rPr>
              <w:t>1,562,323</w:t>
            </w:r>
          </w:p>
        </w:tc>
        <w:tc>
          <w:tcPr>
            <w:tcW w:w="91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B6015C" w:rsidP="00B6015C">
            <w:pPr>
              <w:autoSpaceDE w:val="0"/>
              <w:autoSpaceDN w:val="0"/>
              <w:adjustRightInd w:val="0"/>
              <w:jc w:val="center"/>
              <w:rPr>
                <w:color w:val="000000"/>
                <w:sz w:val="22"/>
                <w:szCs w:val="22"/>
              </w:rPr>
            </w:pPr>
            <w:r>
              <w:rPr>
                <w:b/>
                <w:bCs/>
                <w:color w:val="000000"/>
                <w:sz w:val="22"/>
                <w:szCs w:val="22"/>
              </w:rPr>
              <w:t>64</w:t>
            </w:r>
            <w:r w:rsidR="00FE686A" w:rsidRPr="00846B41">
              <w:rPr>
                <w:b/>
                <w:bCs/>
                <w:color w:val="000000"/>
                <w:sz w:val="22"/>
                <w:szCs w:val="22"/>
              </w:rPr>
              <w:t>%</w:t>
            </w:r>
          </w:p>
        </w:tc>
      </w:tr>
      <w:tr w:rsidR="00FE686A" w:rsidRPr="00846B41">
        <w:trPr>
          <w:trHeight w:val="312"/>
          <w:tblCellSpacing w:w="0" w:type="dxa"/>
        </w:trPr>
        <w:tc>
          <w:tcPr>
            <w:tcW w:w="19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pPr>
              <w:autoSpaceDE w:val="0"/>
              <w:autoSpaceDN w:val="0"/>
              <w:adjustRightInd w:val="0"/>
              <w:jc w:val="center"/>
              <w:rPr>
                <w:color w:val="000000"/>
                <w:sz w:val="22"/>
                <w:szCs w:val="22"/>
              </w:rPr>
            </w:pPr>
            <w:r w:rsidRPr="00846B41">
              <w:rPr>
                <w:b/>
                <w:bCs/>
                <w:color w:val="000000"/>
                <w:sz w:val="22"/>
                <w:szCs w:val="22"/>
              </w:rPr>
              <w:t>Durable Medical Equipment (DME)</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311E0B" w:rsidRDefault="00424833" w:rsidP="00B6015C">
            <w:pPr>
              <w:autoSpaceDE w:val="0"/>
              <w:autoSpaceDN w:val="0"/>
              <w:adjustRightInd w:val="0"/>
              <w:jc w:val="center"/>
              <w:rPr>
                <w:b/>
                <w:color w:val="000000"/>
                <w:sz w:val="22"/>
                <w:szCs w:val="22"/>
              </w:rPr>
            </w:pPr>
            <w:r w:rsidRPr="00311E0B">
              <w:rPr>
                <w:b/>
                <w:color w:val="000000"/>
                <w:sz w:val="22"/>
                <w:szCs w:val="22"/>
              </w:rPr>
              <w:t>46</w:t>
            </w:r>
            <w:r w:rsidR="00B6015C" w:rsidRPr="00311E0B">
              <w:rPr>
                <w:b/>
                <w:color w:val="000000"/>
                <w:sz w:val="22"/>
                <w:szCs w:val="22"/>
              </w:rPr>
              <w:t>1</w:t>
            </w:r>
            <w:r w:rsidRPr="00311E0B">
              <w:rPr>
                <w:b/>
                <w:color w:val="000000"/>
                <w:sz w:val="22"/>
                <w:szCs w:val="22"/>
              </w:rPr>
              <w:t>,6</w:t>
            </w:r>
            <w:r w:rsidR="00B6015C" w:rsidRPr="00311E0B">
              <w:rPr>
                <w:b/>
                <w:color w:val="000000"/>
                <w:sz w:val="22"/>
                <w:szCs w:val="22"/>
              </w:rPr>
              <w:t>94</w:t>
            </w:r>
          </w:p>
        </w:tc>
        <w:tc>
          <w:tcPr>
            <w:tcW w:w="91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B6015C" w:rsidP="00B6015C">
            <w:pPr>
              <w:autoSpaceDE w:val="0"/>
              <w:autoSpaceDN w:val="0"/>
              <w:adjustRightInd w:val="0"/>
              <w:jc w:val="center"/>
              <w:rPr>
                <w:color w:val="000000"/>
                <w:sz w:val="22"/>
                <w:szCs w:val="22"/>
              </w:rPr>
            </w:pPr>
            <w:r>
              <w:rPr>
                <w:b/>
                <w:bCs/>
                <w:color w:val="000000"/>
                <w:sz w:val="22"/>
                <w:szCs w:val="22"/>
              </w:rPr>
              <w:t>19</w:t>
            </w:r>
            <w:r w:rsidR="00FE686A" w:rsidRPr="00846B41">
              <w:rPr>
                <w:b/>
                <w:bCs/>
                <w:color w:val="000000"/>
                <w:sz w:val="22"/>
                <w:szCs w:val="22"/>
              </w:rPr>
              <w:t>%</w:t>
            </w:r>
          </w:p>
        </w:tc>
      </w:tr>
      <w:tr w:rsidR="00FE686A" w:rsidRPr="00846B41">
        <w:trPr>
          <w:trHeight w:val="312"/>
          <w:tblCellSpacing w:w="0" w:type="dxa"/>
        </w:trPr>
        <w:tc>
          <w:tcPr>
            <w:tcW w:w="19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pPr>
              <w:autoSpaceDE w:val="0"/>
              <w:autoSpaceDN w:val="0"/>
              <w:adjustRightInd w:val="0"/>
              <w:jc w:val="center"/>
              <w:rPr>
                <w:color w:val="000000"/>
                <w:sz w:val="22"/>
                <w:szCs w:val="22"/>
              </w:rPr>
            </w:pPr>
            <w:r w:rsidRPr="00846B41">
              <w:rPr>
                <w:b/>
                <w:bCs/>
                <w:color w:val="000000"/>
                <w:sz w:val="22"/>
                <w:szCs w:val="22"/>
              </w:rPr>
              <w:t>Ambulance</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311E0B" w:rsidRDefault="00424833" w:rsidP="003E24B8">
            <w:pPr>
              <w:autoSpaceDE w:val="0"/>
              <w:autoSpaceDN w:val="0"/>
              <w:adjustRightInd w:val="0"/>
              <w:jc w:val="center"/>
              <w:rPr>
                <w:b/>
                <w:color w:val="000000"/>
                <w:sz w:val="22"/>
                <w:szCs w:val="22"/>
              </w:rPr>
            </w:pPr>
            <w:r w:rsidRPr="00311E0B">
              <w:rPr>
                <w:b/>
                <w:color w:val="000000"/>
                <w:sz w:val="22"/>
                <w:szCs w:val="22"/>
              </w:rPr>
              <w:t>168,184</w:t>
            </w:r>
          </w:p>
        </w:tc>
        <w:tc>
          <w:tcPr>
            <w:tcW w:w="91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B6015C" w:rsidP="00B6015C">
            <w:pPr>
              <w:autoSpaceDE w:val="0"/>
              <w:autoSpaceDN w:val="0"/>
              <w:adjustRightInd w:val="0"/>
              <w:jc w:val="center"/>
              <w:rPr>
                <w:color w:val="000000"/>
                <w:sz w:val="22"/>
                <w:szCs w:val="22"/>
              </w:rPr>
            </w:pPr>
            <w:r>
              <w:rPr>
                <w:b/>
                <w:bCs/>
                <w:color w:val="000000"/>
                <w:sz w:val="22"/>
                <w:szCs w:val="22"/>
              </w:rPr>
              <w:t>7</w:t>
            </w:r>
            <w:r w:rsidR="00FE686A" w:rsidRPr="00846B41">
              <w:rPr>
                <w:b/>
                <w:bCs/>
                <w:color w:val="000000"/>
                <w:sz w:val="22"/>
                <w:szCs w:val="22"/>
              </w:rPr>
              <w:t>%</w:t>
            </w:r>
          </w:p>
        </w:tc>
      </w:tr>
      <w:tr w:rsidR="00FE686A" w:rsidRPr="00846B41">
        <w:trPr>
          <w:trHeight w:val="312"/>
          <w:tblCellSpacing w:w="0" w:type="dxa"/>
        </w:trPr>
        <w:tc>
          <w:tcPr>
            <w:tcW w:w="19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pPr>
              <w:autoSpaceDE w:val="0"/>
              <w:autoSpaceDN w:val="0"/>
              <w:adjustRightInd w:val="0"/>
              <w:jc w:val="center"/>
              <w:rPr>
                <w:color w:val="000000"/>
                <w:sz w:val="22"/>
                <w:szCs w:val="22"/>
              </w:rPr>
            </w:pPr>
            <w:r w:rsidRPr="00846B41">
              <w:rPr>
                <w:b/>
                <w:bCs/>
                <w:color w:val="000000"/>
                <w:sz w:val="22"/>
                <w:szCs w:val="22"/>
              </w:rPr>
              <w:t>Other</w:t>
            </w:r>
            <w:r>
              <w:rPr>
                <w:b/>
                <w:bCs/>
                <w:color w:val="000000"/>
                <w:sz w:val="22"/>
                <w:szCs w:val="22"/>
              </w:rPr>
              <w:t xml:space="preserve"> (Preventative Services, Vision</w:t>
            </w:r>
            <w:r w:rsidR="000D7222">
              <w:rPr>
                <w:b/>
                <w:bCs/>
                <w:color w:val="000000"/>
                <w:sz w:val="22"/>
                <w:szCs w:val="22"/>
              </w:rPr>
              <w:t>,</w:t>
            </w:r>
            <w:r>
              <w:rPr>
                <w:b/>
                <w:bCs/>
                <w:color w:val="000000"/>
                <w:sz w:val="22"/>
                <w:szCs w:val="22"/>
              </w:rPr>
              <w:t xml:space="preserve"> etc.)</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311E0B" w:rsidRDefault="00424833" w:rsidP="003E24B8">
            <w:pPr>
              <w:autoSpaceDE w:val="0"/>
              <w:autoSpaceDN w:val="0"/>
              <w:adjustRightInd w:val="0"/>
              <w:jc w:val="center"/>
              <w:rPr>
                <w:b/>
                <w:color w:val="000000"/>
                <w:sz w:val="22"/>
                <w:szCs w:val="22"/>
              </w:rPr>
            </w:pPr>
            <w:r w:rsidRPr="00311E0B">
              <w:rPr>
                <w:b/>
                <w:color w:val="000000"/>
                <w:sz w:val="22"/>
                <w:szCs w:val="22"/>
              </w:rPr>
              <w:t>176,299</w:t>
            </w:r>
          </w:p>
        </w:tc>
        <w:tc>
          <w:tcPr>
            <w:tcW w:w="91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3E24B8" w:rsidP="003E24B8">
            <w:pPr>
              <w:autoSpaceDE w:val="0"/>
              <w:autoSpaceDN w:val="0"/>
              <w:adjustRightInd w:val="0"/>
              <w:jc w:val="center"/>
              <w:rPr>
                <w:color w:val="000000"/>
                <w:sz w:val="22"/>
                <w:szCs w:val="22"/>
              </w:rPr>
            </w:pPr>
            <w:r>
              <w:rPr>
                <w:b/>
                <w:bCs/>
                <w:color w:val="000000"/>
                <w:sz w:val="22"/>
                <w:szCs w:val="22"/>
              </w:rPr>
              <w:t>7</w:t>
            </w:r>
            <w:r w:rsidR="00FE686A" w:rsidRPr="00846B41">
              <w:rPr>
                <w:b/>
                <w:bCs/>
                <w:color w:val="000000"/>
                <w:sz w:val="22"/>
                <w:szCs w:val="22"/>
              </w:rPr>
              <w:t>%</w:t>
            </w:r>
          </w:p>
        </w:tc>
      </w:tr>
      <w:tr w:rsidR="00FE686A" w:rsidRPr="00846B41">
        <w:trPr>
          <w:trHeight w:val="312"/>
          <w:tblCellSpacing w:w="0" w:type="dxa"/>
        </w:trPr>
        <w:tc>
          <w:tcPr>
            <w:tcW w:w="19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pPr>
              <w:autoSpaceDE w:val="0"/>
              <w:autoSpaceDN w:val="0"/>
              <w:adjustRightInd w:val="0"/>
              <w:jc w:val="center"/>
              <w:rPr>
                <w:color w:val="000000"/>
                <w:sz w:val="22"/>
                <w:szCs w:val="22"/>
              </w:rPr>
            </w:pPr>
            <w:r w:rsidRPr="00846B41">
              <w:rPr>
                <w:b/>
                <w:bCs/>
                <w:color w:val="000000"/>
                <w:sz w:val="22"/>
                <w:szCs w:val="22"/>
              </w:rPr>
              <w:t>Lab</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311E0B" w:rsidRDefault="00424833" w:rsidP="003E24B8">
            <w:pPr>
              <w:autoSpaceDE w:val="0"/>
              <w:autoSpaceDN w:val="0"/>
              <w:adjustRightInd w:val="0"/>
              <w:jc w:val="center"/>
              <w:rPr>
                <w:b/>
                <w:color w:val="000000"/>
                <w:sz w:val="22"/>
                <w:szCs w:val="22"/>
              </w:rPr>
            </w:pPr>
            <w:r w:rsidRPr="00311E0B">
              <w:rPr>
                <w:b/>
                <w:color w:val="000000"/>
                <w:sz w:val="22"/>
                <w:szCs w:val="22"/>
              </w:rPr>
              <w:t>87,473</w:t>
            </w:r>
          </w:p>
        </w:tc>
        <w:tc>
          <w:tcPr>
            <w:tcW w:w="91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0E3033" w:rsidP="000E3033">
            <w:pPr>
              <w:autoSpaceDE w:val="0"/>
              <w:autoSpaceDN w:val="0"/>
              <w:adjustRightInd w:val="0"/>
              <w:jc w:val="center"/>
              <w:rPr>
                <w:color w:val="000000"/>
                <w:sz w:val="22"/>
                <w:szCs w:val="22"/>
              </w:rPr>
            </w:pPr>
            <w:r>
              <w:rPr>
                <w:b/>
                <w:bCs/>
                <w:color w:val="000000"/>
                <w:sz w:val="22"/>
                <w:szCs w:val="22"/>
              </w:rPr>
              <w:t>3</w:t>
            </w:r>
            <w:r w:rsidR="00FE686A" w:rsidRPr="00846B41">
              <w:rPr>
                <w:b/>
                <w:bCs/>
                <w:color w:val="000000"/>
                <w:sz w:val="22"/>
                <w:szCs w:val="22"/>
              </w:rPr>
              <w:t>%</w:t>
            </w:r>
          </w:p>
        </w:tc>
      </w:tr>
      <w:tr w:rsidR="00FE686A" w:rsidRPr="00846B41">
        <w:trPr>
          <w:trHeight w:val="312"/>
          <w:tblCellSpacing w:w="0" w:type="dxa"/>
        </w:trPr>
        <w:tc>
          <w:tcPr>
            <w:tcW w:w="19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pPr>
              <w:autoSpaceDE w:val="0"/>
              <w:autoSpaceDN w:val="0"/>
              <w:adjustRightInd w:val="0"/>
              <w:jc w:val="center"/>
              <w:rPr>
                <w:color w:val="000000"/>
                <w:sz w:val="22"/>
                <w:szCs w:val="22"/>
              </w:rPr>
            </w:pPr>
            <w:r w:rsidRPr="00846B41">
              <w:rPr>
                <w:b/>
                <w:bCs/>
                <w:color w:val="000000"/>
                <w:sz w:val="22"/>
                <w:szCs w:val="22"/>
              </w:rPr>
              <w:t>TOTAL</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rsidP="002A60E6">
            <w:pPr>
              <w:autoSpaceDE w:val="0"/>
              <w:autoSpaceDN w:val="0"/>
              <w:adjustRightInd w:val="0"/>
              <w:jc w:val="center"/>
              <w:rPr>
                <w:color w:val="000000"/>
                <w:sz w:val="22"/>
                <w:szCs w:val="22"/>
              </w:rPr>
            </w:pPr>
            <w:r w:rsidRPr="00846B41">
              <w:rPr>
                <w:b/>
                <w:bCs/>
                <w:color w:val="000000"/>
                <w:sz w:val="22"/>
                <w:szCs w:val="22"/>
              </w:rPr>
              <w:t>2,</w:t>
            </w:r>
            <w:r w:rsidR="00424833">
              <w:rPr>
                <w:b/>
                <w:bCs/>
                <w:color w:val="000000"/>
                <w:sz w:val="22"/>
                <w:szCs w:val="22"/>
              </w:rPr>
              <w:t>45</w:t>
            </w:r>
            <w:r w:rsidR="002A60E6">
              <w:rPr>
                <w:b/>
                <w:bCs/>
                <w:color w:val="000000"/>
                <w:sz w:val="22"/>
                <w:szCs w:val="22"/>
              </w:rPr>
              <w:t>8</w:t>
            </w:r>
            <w:r w:rsidR="00424833">
              <w:rPr>
                <w:b/>
                <w:bCs/>
                <w:color w:val="000000"/>
                <w:sz w:val="22"/>
                <w:szCs w:val="22"/>
              </w:rPr>
              <w:t>,9</w:t>
            </w:r>
            <w:r w:rsidR="002A60E6">
              <w:rPr>
                <w:b/>
                <w:bCs/>
                <w:color w:val="000000"/>
                <w:sz w:val="22"/>
                <w:szCs w:val="22"/>
              </w:rPr>
              <w:t>01</w:t>
            </w:r>
          </w:p>
        </w:tc>
        <w:tc>
          <w:tcPr>
            <w:tcW w:w="91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pPr>
              <w:autoSpaceDE w:val="0"/>
              <w:autoSpaceDN w:val="0"/>
              <w:adjustRightInd w:val="0"/>
              <w:jc w:val="center"/>
              <w:rPr>
                <w:color w:val="000000"/>
                <w:sz w:val="22"/>
                <w:szCs w:val="22"/>
              </w:rPr>
            </w:pPr>
            <w:r w:rsidRPr="00846B41">
              <w:rPr>
                <w:b/>
                <w:bCs/>
                <w:color w:val="000000"/>
                <w:sz w:val="22"/>
                <w:szCs w:val="22"/>
              </w:rPr>
              <w:t>100%</w:t>
            </w:r>
          </w:p>
        </w:tc>
      </w:tr>
    </w:tbl>
    <w:tbl>
      <w:tblPr>
        <w:tblpPr w:leftFromText="180" w:rightFromText="180" w:vertAnchor="text" w:tblpY="72"/>
        <w:tblW w:w="4166" w:type="dxa"/>
        <w:tblCellSpacing w:w="0" w:type="dxa"/>
        <w:tblCellMar>
          <w:left w:w="0" w:type="dxa"/>
          <w:right w:w="0" w:type="dxa"/>
        </w:tblCellMar>
        <w:tblLook w:val="0000"/>
      </w:tblPr>
      <w:tblGrid>
        <w:gridCol w:w="1990"/>
        <w:gridCol w:w="1080"/>
        <w:gridCol w:w="1096"/>
      </w:tblGrid>
      <w:tr w:rsidR="00FE686A" w:rsidRPr="00846B41">
        <w:trPr>
          <w:trHeight w:val="395"/>
          <w:tblCellSpacing w:w="0" w:type="dxa"/>
        </w:trPr>
        <w:tc>
          <w:tcPr>
            <w:tcW w:w="1990" w:type="dxa"/>
            <w:tcBorders>
              <w:top w:val="single" w:sz="4" w:space="0" w:color="000000"/>
              <w:left w:val="single" w:sz="4" w:space="0" w:color="000000"/>
              <w:bottom w:val="single" w:sz="4" w:space="0" w:color="000000"/>
              <w:right w:val="single" w:sz="4" w:space="0" w:color="000000"/>
            </w:tcBorders>
            <w:shd w:val="clear" w:color="auto" w:fill="800000"/>
            <w:vAlign w:val="center"/>
          </w:tcPr>
          <w:p w:rsidR="00FE686A" w:rsidRDefault="00FE686A" w:rsidP="00D87EB4">
            <w:pPr>
              <w:autoSpaceDE w:val="0"/>
              <w:autoSpaceDN w:val="0"/>
              <w:adjustRightInd w:val="0"/>
              <w:jc w:val="center"/>
              <w:rPr>
                <w:b/>
                <w:bCs/>
                <w:color w:val="FFFFFF"/>
                <w:sz w:val="22"/>
                <w:szCs w:val="22"/>
              </w:rPr>
            </w:pPr>
            <w:r w:rsidRPr="00846B41">
              <w:rPr>
                <w:b/>
                <w:bCs/>
                <w:color w:val="FFFFFF"/>
                <w:sz w:val="22"/>
                <w:szCs w:val="22"/>
              </w:rPr>
              <w:t xml:space="preserve"> </w:t>
            </w:r>
            <w:r w:rsidR="0051118B">
              <w:rPr>
                <w:b/>
                <w:bCs/>
                <w:color w:val="FFFFFF"/>
                <w:sz w:val="22"/>
                <w:szCs w:val="22"/>
              </w:rPr>
              <w:t xml:space="preserve">Appeal </w:t>
            </w:r>
            <w:r w:rsidRPr="00846B41">
              <w:rPr>
                <w:b/>
                <w:bCs/>
                <w:color w:val="FFFFFF"/>
                <w:sz w:val="22"/>
                <w:szCs w:val="22"/>
              </w:rPr>
              <w:t>Category</w:t>
            </w:r>
          </w:p>
          <w:p w:rsidR="0051118B" w:rsidRPr="00846B41" w:rsidRDefault="0051118B" w:rsidP="00D87EB4">
            <w:pPr>
              <w:autoSpaceDE w:val="0"/>
              <w:autoSpaceDN w:val="0"/>
              <w:adjustRightInd w:val="0"/>
              <w:jc w:val="center"/>
              <w:rPr>
                <w:color w:val="FFFFFF"/>
                <w:sz w:val="22"/>
                <w:szCs w:val="22"/>
              </w:rPr>
            </w:pPr>
          </w:p>
        </w:tc>
        <w:tc>
          <w:tcPr>
            <w:tcW w:w="1080" w:type="dxa"/>
            <w:tcBorders>
              <w:top w:val="single" w:sz="4" w:space="0" w:color="000000"/>
              <w:left w:val="single" w:sz="4" w:space="0" w:color="000000"/>
              <w:bottom w:val="single" w:sz="4" w:space="0" w:color="000000"/>
              <w:right w:val="single" w:sz="4" w:space="0" w:color="000000"/>
            </w:tcBorders>
            <w:shd w:val="clear" w:color="auto" w:fill="800000"/>
            <w:vAlign w:val="center"/>
          </w:tcPr>
          <w:p w:rsidR="00FE686A" w:rsidRPr="00846B41" w:rsidRDefault="00FE686A">
            <w:pPr>
              <w:autoSpaceDE w:val="0"/>
              <w:autoSpaceDN w:val="0"/>
              <w:adjustRightInd w:val="0"/>
              <w:jc w:val="center"/>
              <w:rPr>
                <w:color w:val="FFFFFF"/>
                <w:sz w:val="22"/>
                <w:szCs w:val="22"/>
              </w:rPr>
            </w:pPr>
            <w:r w:rsidRPr="00846B41">
              <w:rPr>
                <w:b/>
                <w:bCs/>
                <w:color w:val="FFFFFF"/>
                <w:sz w:val="22"/>
                <w:szCs w:val="22"/>
              </w:rPr>
              <w:t>Decided Claims</w:t>
            </w:r>
          </w:p>
        </w:tc>
        <w:tc>
          <w:tcPr>
            <w:tcW w:w="1096" w:type="dxa"/>
            <w:tcBorders>
              <w:top w:val="single" w:sz="4" w:space="0" w:color="000000"/>
              <w:left w:val="single" w:sz="4" w:space="0" w:color="000000"/>
              <w:bottom w:val="single" w:sz="4" w:space="0" w:color="000000"/>
              <w:right w:val="single" w:sz="4" w:space="0" w:color="000000"/>
            </w:tcBorders>
            <w:shd w:val="clear" w:color="auto" w:fill="800000"/>
            <w:vAlign w:val="center"/>
          </w:tcPr>
          <w:p w:rsidR="00FE686A" w:rsidRDefault="00FE686A">
            <w:pPr>
              <w:autoSpaceDE w:val="0"/>
              <w:autoSpaceDN w:val="0"/>
              <w:adjustRightInd w:val="0"/>
              <w:jc w:val="center"/>
              <w:rPr>
                <w:b/>
                <w:bCs/>
                <w:color w:val="FFFFFF"/>
                <w:sz w:val="22"/>
                <w:szCs w:val="22"/>
              </w:rPr>
            </w:pPr>
            <w:r w:rsidRPr="00846B41">
              <w:rPr>
                <w:b/>
                <w:bCs/>
                <w:color w:val="FFFFFF"/>
                <w:sz w:val="22"/>
                <w:szCs w:val="22"/>
              </w:rPr>
              <w:t>Percent</w:t>
            </w:r>
          </w:p>
          <w:p w:rsidR="0051118B" w:rsidRPr="00846B41" w:rsidRDefault="0051118B">
            <w:pPr>
              <w:autoSpaceDE w:val="0"/>
              <w:autoSpaceDN w:val="0"/>
              <w:adjustRightInd w:val="0"/>
              <w:jc w:val="center"/>
              <w:rPr>
                <w:color w:val="FFFFFF"/>
                <w:sz w:val="22"/>
                <w:szCs w:val="22"/>
              </w:rPr>
            </w:pPr>
          </w:p>
        </w:tc>
      </w:tr>
      <w:tr w:rsidR="00FE686A" w:rsidRPr="00846B41">
        <w:trPr>
          <w:trHeight w:val="252"/>
          <w:tblCellSpacing w:w="0" w:type="dxa"/>
        </w:trPr>
        <w:tc>
          <w:tcPr>
            <w:tcW w:w="19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pPr>
              <w:autoSpaceDE w:val="0"/>
              <w:autoSpaceDN w:val="0"/>
              <w:adjustRightInd w:val="0"/>
              <w:jc w:val="center"/>
              <w:rPr>
                <w:color w:val="000000"/>
                <w:sz w:val="22"/>
                <w:szCs w:val="22"/>
              </w:rPr>
            </w:pPr>
            <w:r w:rsidRPr="00846B41">
              <w:rPr>
                <w:b/>
                <w:bCs/>
                <w:color w:val="000000"/>
                <w:sz w:val="22"/>
                <w:szCs w:val="22"/>
              </w:rPr>
              <w:t>Outpatient</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3E24B8" w:rsidP="003A4BE8">
            <w:pPr>
              <w:autoSpaceDE w:val="0"/>
              <w:autoSpaceDN w:val="0"/>
              <w:adjustRightInd w:val="0"/>
              <w:jc w:val="center"/>
              <w:rPr>
                <w:color w:val="000000"/>
                <w:sz w:val="22"/>
                <w:szCs w:val="22"/>
              </w:rPr>
            </w:pPr>
            <w:r>
              <w:rPr>
                <w:b/>
                <w:bCs/>
                <w:color w:val="000000"/>
                <w:sz w:val="22"/>
                <w:szCs w:val="22"/>
              </w:rPr>
              <w:t>142</w:t>
            </w:r>
            <w:r w:rsidR="00FE686A" w:rsidRPr="00846B41">
              <w:rPr>
                <w:b/>
                <w:bCs/>
                <w:color w:val="000000"/>
                <w:sz w:val="22"/>
                <w:szCs w:val="22"/>
              </w:rPr>
              <w:t>,</w:t>
            </w:r>
            <w:r w:rsidR="003A4BE8">
              <w:rPr>
                <w:b/>
                <w:bCs/>
                <w:color w:val="000000"/>
                <w:sz w:val="22"/>
                <w:szCs w:val="22"/>
              </w:rPr>
              <w:t>851</w:t>
            </w:r>
          </w:p>
        </w:tc>
        <w:tc>
          <w:tcPr>
            <w:tcW w:w="1096"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EE5DAE" w:rsidP="00EE5DAE">
            <w:pPr>
              <w:autoSpaceDE w:val="0"/>
              <w:autoSpaceDN w:val="0"/>
              <w:adjustRightInd w:val="0"/>
              <w:jc w:val="center"/>
              <w:rPr>
                <w:color w:val="000000"/>
                <w:sz w:val="22"/>
                <w:szCs w:val="22"/>
              </w:rPr>
            </w:pPr>
            <w:r>
              <w:rPr>
                <w:b/>
                <w:bCs/>
                <w:color w:val="000000"/>
                <w:sz w:val="22"/>
                <w:szCs w:val="22"/>
              </w:rPr>
              <w:t>6</w:t>
            </w:r>
            <w:r w:rsidR="003E24B8">
              <w:rPr>
                <w:b/>
                <w:bCs/>
                <w:color w:val="000000"/>
                <w:sz w:val="22"/>
                <w:szCs w:val="22"/>
              </w:rPr>
              <w:t>4</w:t>
            </w:r>
            <w:r w:rsidR="00FE686A" w:rsidRPr="00846B41">
              <w:rPr>
                <w:b/>
                <w:bCs/>
                <w:color w:val="000000"/>
                <w:sz w:val="22"/>
                <w:szCs w:val="22"/>
              </w:rPr>
              <w:t>%</w:t>
            </w:r>
          </w:p>
        </w:tc>
      </w:tr>
      <w:tr w:rsidR="00FE686A" w:rsidRPr="00846B41">
        <w:trPr>
          <w:trHeight w:val="252"/>
          <w:tblCellSpacing w:w="0" w:type="dxa"/>
        </w:trPr>
        <w:tc>
          <w:tcPr>
            <w:tcW w:w="19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pPr>
              <w:autoSpaceDE w:val="0"/>
              <w:autoSpaceDN w:val="0"/>
              <w:adjustRightInd w:val="0"/>
              <w:jc w:val="center"/>
              <w:rPr>
                <w:color w:val="000000"/>
                <w:sz w:val="22"/>
                <w:szCs w:val="22"/>
              </w:rPr>
            </w:pPr>
            <w:r w:rsidRPr="00846B41">
              <w:rPr>
                <w:b/>
                <w:bCs/>
                <w:color w:val="000000"/>
                <w:sz w:val="22"/>
                <w:szCs w:val="22"/>
              </w:rPr>
              <w:t>Other</w:t>
            </w:r>
            <w:r>
              <w:rPr>
                <w:b/>
                <w:bCs/>
                <w:color w:val="000000"/>
                <w:sz w:val="22"/>
                <w:szCs w:val="22"/>
              </w:rPr>
              <w:t xml:space="preserve"> (Acute Hospital, Hospice, etc.) </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3A4BE8" w:rsidP="003A4BE8">
            <w:pPr>
              <w:autoSpaceDE w:val="0"/>
              <w:autoSpaceDN w:val="0"/>
              <w:adjustRightInd w:val="0"/>
              <w:jc w:val="center"/>
              <w:rPr>
                <w:color w:val="000000"/>
                <w:sz w:val="22"/>
                <w:szCs w:val="22"/>
              </w:rPr>
            </w:pPr>
            <w:r>
              <w:rPr>
                <w:b/>
                <w:bCs/>
                <w:color w:val="000000"/>
                <w:sz w:val="22"/>
                <w:szCs w:val="22"/>
              </w:rPr>
              <w:t>33</w:t>
            </w:r>
            <w:r w:rsidR="00FE686A" w:rsidRPr="00846B41">
              <w:rPr>
                <w:b/>
                <w:bCs/>
                <w:color w:val="000000"/>
                <w:sz w:val="22"/>
                <w:szCs w:val="22"/>
              </w:rPr>
              <w:t>,</w:t>
            </w:r>
            <w:r>
              <w:rPr>
                <w:b/>
                <w:bCs/>
                <w:color w:val="000000"/>
                <w:sz w:val="22"/>
                <w:szCs w:val="22"/>
              </w:rPr>
              <w:t>845</w:t>
            </w:r>
          </w:p>
        </w:tc>
        <w:tc>
          <w:tcPr>
            <w:tcW w:w="1096"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rsidP="00EE5DAE">
            <w:pPr>
              <w:autoSpaceDE w:val="0"/>
              <w:autoSpaceDN w:val="0"/>
              <w:adjustRightInd w:val="0"/>
              <w:jc w:val="center"/>
              <w:rPr>
                <w:color w:val="000000"/>
                <w:sz w:val="22"/>
                <w:szCs w:val="22"/>
              </w:rPr>
            </w:pPr>
            <w:r w:rsidRPr="00846B41">
              <w:rPr>
                <w:b/>
                <w:bCs/>
                <w:color w:val="000000"/>
                <w:sz w:val="22"/>
                <w:szCs w:val="22"/>
              </w:rPr>
              <w:t>1</w:t>
            </w:r>
            <w:r w:rsidR="00EE5DAE">
              <w:rPr>
                <w:b/>
                <w:bCs/>
                <w:color w:val="000000"/>
                <w:sz w:val="22"/>
                <w:szCs w:val="22"/>
              </w:rPr>
              <w:t>5</w:t>
            </w:r>
            <w:r w:rsidRPr="00846B41">
              <w:rPr>
                <w:b/>
                <w:bCs/>
                <w:color w:val="000000"/>
                <w:sz w:val="22"/>
                <w:szCs w:val="22"/>
              </w:rPr>
              <w:t>%</w:t>
            </w:r>
          </w:p>
        </w:tc>
      </w:tr>
      <w:tr w:rsidR="00FE686A" w:rsidRPr="00846B41">
        <w:trPr>
          <w:trHeight w:val="252"/>
          <w:tblCellSpacing w:w="0" w:type="dxa"/>
        </w:trPr>
        <w:tc>
          <w:tcPr>
            <w:tcW w:w="19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pPr>
              <w:autoSpaceDE w:val="0"/>
              <w:autoSpaceDN w:val="0"/>
              <w:adjustRightInd w:val="0"/>
              <w:jc w:val="center"/>
              <w:rPr>
                <w:color w:val="000000"/>
                <w:sz w:val="22"/>
                <w:szCs w:val="22"/>
              </w:rPr>
            </w:pPr>
            <w:r w:rsidRPr="00846B41">
              <w:rPr>
                <w:b/>
                <w:bCs/>
                <w:color w:val="000000"/>
                <w:sz w:val="22"/>
                <w:szCs w:val="22"/>
              </w:rPr>
              <w:t>Inpatient</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EE5DAE" w:rsidP="00EE5DAE">
            <w:pPr>
              <w:autoSpaceDE w:val="0"/>
              <w:autoSpaceDN w:val="0"/>
              <w:adjustRightInd w:val="0"/>
              <w:jc w:val="center"/>
              <w:rPr>
                <w:color w:val="000000"/>
                <w:sz w:val="22"/>
                <w:szCs w:val="22"/>
              </w:rPr>
            </w:pPr>
            <w:r>
              <w:rPr>
                <w:b/>
                <w:bCs/>
                <w:color w:val="000000"/>
                <w:sz w:val="22"/>
                <w:szCs w:val="22"/>
              </w:rPr>
              <w:t>11</w:t>
            </w:r>
            <w:r w:rsidR="00FE686A" w:rsidRPr="00846B41">
              <w:rPr>
                <w:b/>
                <w:bCs/>
                <w:color w:val="000000"/>
                <w:sz w:val="22"/>
                <w:szCs w:val="22"/>
              </w:rPr>
              <w:t>,</w:t>
            </w:r>
            <w:r>
              <w:rPr>
                <w:b/>
                <w:bCs/>
                <w:color w:val="000000"/>
                <w:sz w:val="22"/>
                <w:szCs w:val="22"/>
              </w:rPr>
              <w:t>930</w:t>
            </w:r>
          </w:p>
        </w:tc>
        <w:tc>
          <w:tcPr>
            <w:tcW w:w="1096"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EE5DAE" w:rsidP="00EE5DAE">
            <w:pPr>
              <w:autoSpaceDE w:val="0"/>
              <w:autoSpaceDN w:val="0"/>
              <w:adjustRightInd w:val="0"/>
              <w:jc w:val="center"/>
              <w:rPr>
                <w:color w:val="000000"/>
                <w:sz w:val="22"/>
                <w:szCs w:val="22"/>
              </w:rPr>
            </w:pPr>
            <w:r>
              <w:rPr>
                <w:b/>
                <w:bCs/>
                <w:color w:val="000000"/>
                <w:sz w:val="22"/>
                <w:szCs w:val="22"/>
              </w:rPr>
              <w:t>5</w:t>
            </w:r>
            <w:r w:rsidR="00FE686A" w:rsidRPr="00846B41">
              <w:rPr>
                <w:b/>
                <w:bCs/>
                <w:color w:val="000000"/>
                <w:sz w:val="22"/>
                <w:szCs w:val="22"/>
              </w:rPr>
              <w:t>%</w:t>
            </w:r>
          </w:p>
        </w:tc>
      </w:tr>
      <w:tr w:rsidR="00FE686A" w:rsidRPr="00846B41">
        <w:trPr>
          <w:trHeight w:val="252"/>
          <w:tblCellSpacing w:w="0" w:type="dxa"/>
        </w:trPr>
        <w:tc>
          <w:tcPr>
            <w:tcW w:w="19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pPr>
              <w:autoSpaceDE w:val="0"/>
              <w:autoSpaceDN w:val="0"/>
              <w:adjustRightInd w:val="0"/>
              <w:jc w:val="center"/>
              <w:rPr>
                <w:color w:val="000000"/>
                <w:sz w:val="22"/>
                <w:szCs w:val="22"/>
              </w:rPr>
            </w:pPr>
            <w:r w:rsidRPr="00846B41">
              <w:rPr>
                <w:b/>
                <w:bCs/>
                <w:color w:val="000000"/>
                <w:sz w:val="22"/>
                <w:szCs w:val="22"/>
              </w:rPr>
              <w:t>Home Health</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EE5DAE" w:rsidP="00EE5DAE">
            <w:pPr>
              <w:autoSpaceDE w:val="0"/>
              <w:autoSpaceDN w:val="0"/>
              <w:adjustRightInd w:val="0"/>
              <w:jc w:val="center"/>
              <w:rPr>
                <w:color w:val="000000"/>
                <w:sz w:val="22"/>
                <w:szCs w:val="22"/>
              </w:rPr>
            </w:pPr>
            <w:r>
              <w:rPr>
                <w:b/>
                <w:bCs/>
                <w:color w:val="000000"/>
                <w:sz w:val="22"/>
                <w:szCs w:val="22"/>
              </w:rPr>
              <w:t>18</w:t>
            </w:r>
            <w:r w:rsidR="00FE686A" w:rsidRPr="00846B41">
              <w:rPr>
                <w:b/>
                <w:bCs/>
                <w:color w:val="000000"/>
                <w:sz w:val="22"/>
                <w:szCs w:val="22"/>
              </w:rPr>
              <w:t>,</w:t>
            </w:r>
            <w:r>
              <w:rPr>
                <w:b/>
                <w:bCs/>
                <w:color w:val="000000"/>
                <w:sz w:val="22"/>
                <w:szCs w:val="22"/>
              </w:rPr>
              <w:t>326</w:t>
            </w:r>
          </w:p>
        </w:tc>
        <w:tc>
          <w:tcPr>
            <w:tcW w:w="1096"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EE5DAE" w:rsidP="00EE5DAE">
            <w:pPr>
              <w:autoSpaceDE w:val="0"/>
              <w:autoSpaceDN w:val="0"/>
              <w:adjustRightInd w:val="0"/>
              <w:jc w:val="center"/>
              <w:rPr>
                <w:color w:val="000000"/>
                <w:sz w:val="22"/>
                <w:szCs w:val="22"/>
              </w:rPr>
            </w:pPr>
            <w:r>
              <w:rPr>
                <w:b/>
                <w:bCs/>
                <w:color w:val="000000"/>
                <w:sz w:val="22"/>
                <w:szCs w:val="22"/>
              </w:rPr>
              <w:t>8</w:t>
            </w:r>
            <w:r w:rsidR="00FE686A" w:rsidRPr="00846B41">
              <w:rPr>
                <w:b/>
                <w:bCs/>
                <w:color w:val="000000"/>
                <w:sz w:val="22"/>
                <w:szCs w:val="22"/>
              </w:rPr>
              <w:t>%</w:t>
            </w:r>
          </w:p>
        </w:tc>
      </w:tr>
      <w:tr w:rsidR="00FE686A" w:rsidRPr="00846B41">
        <w:trPr>
          <w:trHeight w:val="252"/>
          <w:tblCellSpacing w:w="0" w:type="dxa"/>
        </w:trPr>
        <w:tc>
          <w:tcPr>
            <w:tcW w:w="19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pPr>
              <w:autoSpaceDE w:val="0"/>
              <w:autoSpaceDN w:val="0"/>
              <w:adjustRightInd w:val="0"/>
              <w:jc w:val="center"/>
              <w:rPr>
                <w:color w:val="000000"/>
                <w:sz w:val="22"/>
                <w:szCs w:val="22"/>
              </w:rPr>
            </w:pPr>
            <w:r>
              <w:rPr>
                <w:b/>
                <w:bCs/>
                <w:color w:val="000000"/>
                <w:sz w:val="22"/>
                <w:szCs w:val="22"/>
              </w:rPr>
              <w:t>Skilled Nursing Facility (</w:t>
            </w:r>
            <w:r w:rsidRPr="00846B41">
              <w:rPr>
                <w:b/>
                <w:bCs/>
                <w:color w:val="000000"/>
                <w:sz w:val="22"/>
                <w:szCs w:val="22"/>
              </w:rPr>
              <w:t>SNF</w:t>
            </w:r>
            <w:r>
              <w:rPr>
                <w:b/>
                <w:bCs/>
                <w:color w:val="000000"/>
                <w:sz w:val="22"/>
                <w:szCs w:val="22"/>
              </w:rPr>
              <w:t>)</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3E24B8" w:rsidP="00EE5DAE">
            <w:pPr>
              <w:autoSpaceDE w:val="0"/>
              <w:autoSpaceDN w:val="0"/>
              <w:adjustRightInd w:val="0"/>
              <w:jc w:val="center"/>
              <w:rPr>
                <w:color w:val="000000"/>
                <w:sz w:val="22"/>
                <w:szCs w:val="22"/>
              </w:rPr>
            </w:pPr>
            <w:r>
              <w:rPr>
                <w:b/>
                <w:bCs/>
                <w:color w:val="000000"/>
                <w:sz w:val="22"/>
                <w:szCs w:val="22"/>
              </w:rPr>
              <w:t>8</w:t>
            </w:r>
            <w:r w:rsidR="00FE686A" w:rsidRPr="00846B41">
              <w:rPr>
                <w:b/>
                <w:bCs/>
                <w:color w:val="000000"/>
                <w:sz w:val="22"/>
                <w:szCs w:val="22"/>
              </w:rPr>
              <w:t>,</w:t>
            </w:r>
            <w:r w:rsidR="00EE5DAE">
              <w:rPr>
                <w:b/>
                <w:bCs/>
                <w:color w:val="000000"/>
                <w:sz w:val="22"/>
                <w:szCs w:val="22"/>
              </w:rPr>
              <w:t>143</w:t>
            </w:r>
          </w:p>
        </w:tc>
        <w:tc>
          <w:tcPr>
            <w:tcW w:w="1096"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EE5DAE" w:rsidP="00EE5DAE">
            <w:pPr>
              <w:autoSpaceDE w:val="0"/>
              <w:autoSpaceDN w:val="0"/>
              <w:adjustRightInd w:val="0"/>
              <w:jc w:val="center"/>
              <w:rPr>
                <w:color w:val="000000"/>
                <w:sz w:val="22"/>
                <w:szCs w:val="22"/>
              </w:rPr>
            </w:pPr>
            <w:r>
              <w:rPr>
                <w:b/>
                <w:bCs/>
                <w:color w:val="000000"/>
                <w:sz w:val="22"/>
                <w:szCs w:val="22"/>
              </w:rPr>
              <w:t>4</w:t>
            </w:r>
            <w:r w:rsidR="00FE686A" w:rsidRPr="00846B41">
              <w:rPr>
                <w:b/>
                <w:bCs/>
                <w:color w:val="000000"/>
                <w:sz w:val="22"/>
                <w:szCs w:val="22"/>
              </w:rPr>
              <w:t>%</w:t>
            </w:r>
          </w:p>
        </w:tc>
      </w:tr>
      <w:tr w:rsidR="00FE686A" w:rsidRPr="00846B41">
        <w:trPr>
          <w:trHeight w:val="252"/>
          <w:tblCellSpacing w:w="0" w:type="dxa"/>
        </w:trPr>
        <w:tc>
          <w:tcPr>
            <w:tcW w:w="19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pPr>
              <w:autoSpaceDE w:val="0"/>
              <w:autoSpaceDN w:val="0"/>
              <w:adjustRightInd w:val="0"/>
              <w:jc w:val="center"/>
              <w:rPr>
                <w:color w:val="000000"/>
                <w:sz w:val="22"/>
                <w:szCs w:val="22"/>
              </w:rPr>
            </w:pPr>
            <w:r w:rsidRPr="00846B41">
              <w:rPr>
                <w:b/>
                <w:bCs/>
                <w:color w:val="000000"/>
                <w:sz w:val="22"/>
                <w:szCs w:val="22"/>
              </w:rPr>
              <w:t>Ambulance</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3E24B8" w:rsidP="00EE5DAE">
            <w:pPr>
              <w:autoSpaceDE w:val="0"/>
              <w:autoSpaceDN w:val="0"/>
              <w:adjustRightInd w:val="0"/>
              <w:jc w:val="center"/>
              <w:rPr>
                <w:color w:val="000000"/>
                <w:sz w:val="22"/>
                <w:szCs w:val="22"/>
              </w:rPr>
            </w:pPr>
            <w:r>
              <w:rPr>
                <w:b/>
                <w:bCs/>
                <w:color w:val="000000"/>
                <w:sz w:val="22"/>
                <w:szCs w:val="22"/>
              </w:rPr>
              <w:t>5</w:t>
            </w:r>
            <w:r w:rsidR="00FE686A" w:rsidRPr="00846B41">
              <w:rPr>
                <w:b/>
                <w:bCs/>
                <w:color w:val="000000"/>
                <w:sz w:val="22"/>
                <w:szCs w:val="22"/>
              </w:rPr>
              <w:t>,</w:t>
            </w:r>
            <w:r w:rsidR="00EE5DAE">
              <w:rPr>
                <w:b/>
                <w:bCs/>
                <w:color w:val="000000"/>
                <w:sz w:val="22"/>
                <w:szCs w:val="22"/>
              </w:rPr>
              <w:t>967</w:t>
            </w:r>
          </w:p>
        </w:tc>
        <w:tc>
          <w:tcPr>
            <w:tcW w:w="1096"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EE5DAE" w:rsidP="00EE5DAE">
            <w:pPr>
              <w:autoSpaceDE w:val="0"/>
              <w:autoSpaceDN w:val="0"/>
              <w:adjustRightInd w:val="0"/>
              <w:jc w:val="center"/>
              <w:rPr>
                <w:color w:val="000000"/>
                <w:sz w:val="22"/>
                <w:szCs w:val="22"/>
              </w:rPr>
            </w:pPr>
            <w:r>
              <w:rPr>
                <w:b/>
                <w:bCs/>
                <w:color w:val="000000"/>
                <w:sz w:val="22"/>
                <w:szCs w:val="22"/>
              </w:rPr>
              <w:t>3</w:t>
            </w:r>
            <w:r w:rsidR="00FE686A" w:rsidRPr="00846B41">
              <w:rPr>
                <w:b/>
                <w:bCs/>
                <w:color w:val="000000"/>
                <w:sz w:val="22"/>
                <w:szCs w:val="22"/>
              </w:rPr>
              <w:t>%</w:t>
            </w:r>
          </w:p>
        </w:tc>
      </w:tr>
      <w:tr w:rsidR="00FE686A" w:rsidRPr="00846B41">
        <w:trPr>
          <w:trHeight w:val="252"/>
          <w:tblCellSpacing w:w="0" w:type="dxa"/>
        </w:trPr>
        <w:tc>
          <w:tcPr>
            <w:tcW w:w="19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pPr>
              <w:autoSpaceDE w:val="0"/>
              <w:autoSpaceDN w:val="0"/>
              <w:adjustRightInd w:val="0"/>
              <w:jc w:val="center"/>
              <w:rPr>
                <w:color w:val="000000"/>
                <w:sz w:val="22"/>
                <w:szCs w:val="22"/>
              </w:rPr>
            </w:pPr>
            <w:r w:rsidRPr="00846B41">
              <w:rPr>
                <w:b/>
                <w:bCs/>
                <w:color w:val="000000"/>
                <w:sz w:val="22"/>
                <w:szCs w:val="22"/>
              </w:rPr>
              <w:t>Lab</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3E24B8" w:rsidP="00EE5DAE">
            <w:pPr>
              <w:autoSpaceDE w:val="0"/>
              <w:autoSpaceDN w:val="0"/>
              <w:adjustRightInd w:val="0"/>
              <w:jc w:val="center"/>
              <w:rPr>
                <w:color w:val="000000"/>
                <w:sz w:val="22"/>
                <w:szCs w:val="22"/>
              </w:rPr>
            </w:pPr>
            <w:r>
              <w:rPr>
                <w:b/>
                <w:bCs/>
                <w:color w:val="000000"/>
                <w:sz w:val="22"/>
                <w:szCs w:val="22"/>
              </w:rPr>
              <w:t>1</w:t>
            </w:r>
            <w:r w:rsidR="00FE686A" w:rsidRPr="00846B41">
              <w:rPr>
                <w:b/>
                <w:bCs/>
                <w:color w:val="000000"/>
                <w:sz w:val="22"/>
                <w:szCs w:val="22"/>
              </w:rPr>
              <w:t>,</w:t>
            </w:r>
            <w:r w:rsidR="00EE5DAE">
              <w:rPr>
                <w:b/>
                <w:bCs/>
                <w:color w:val="000000"/>
                <w:sz w:val="22"/>
                <w:szCs w:val="22"/>
              </w:rPr>
              <w:t>468</w:t>
            </w:r>
          </w:p>
        </w:tc>
        <w:tc>
          <w:tcPr>
            <w:tcW w:w="1096"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pPr>
              <w:autoSpaceDE w:val="0"/>
              <w:autoSpaceDN w:val="0"/>
              <w:adjustRightInd w:val="0"/>
              <w:jc w:val="center"/>
              <w:rPr>
                <w:color w:val="000000"/>
                <w:sz w:val="22"/>
                <w:szCs w:val="22"/>
              </w:rPr>
            </w:pPr>
            <w:r w:rsidRPr="00846B41">
              <w:rPr>
                <w:b/>
                <w:bCs/>
                <w:color w:val="000000"/>
                <w:sz w:val="22"/>
                <w:szCs w:val="22"/>
              </w:rPr>
              <w:t>1%</w:t>
            </w:r>
          </w:p>
        </w:tc>
      </w:tr>
      <w:tr w:rsidR="00FE686A" w:rsidRPr="00846B41">
        <w:trPr>
          <w:trHeight w:val="252"/>
          <w:tblCellSpacing w:w="0" w:type="dxa"/>
        </w:trPr>
        <w:tc>
          <w:tcPr>
            <w:tcW w:w="199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pPr>
              <w:autoSpaceDE w:val="0"/>
              <w:autoSpaceDN w:val="0"/>
              <w:adjustRightInd w:val="0"/>
              <w:jc w:val="center"/>
              <w:rPr>
                <w:color w:val="000000"/>
                <w:sz w:val="22"/>
                <w:szCs w:val="22"/>
              </w:rPr>
            </w:pPr>
            <w:r w:rsidRPr="00846B41">
              <w:rPr>
                <w:b/>
                <w:bCs/>
                <w:color w:val="000000"/>
                <w:sz w:val="22"/>
                <w:szCs w:val="22"/>
              </w:rPr>
              <w:t>TOTAL</w:t>
            </w:r>
          </w:p>
        </w:tc>
        <w:tc>
          <w:tcPr>
            <w:tcW w:w="108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rsidP="00EE5DAE">
            <w:pPr>
              <w:autoSpaceDE w:val="0"/>
              <w:autoSpaceDN w:val="0"/>
              <w:adjustRightInd w:val="0"/>
              <w:jc w:val="center"/>
              <w:rPr>
                <w:color w:val="000000"/>
                <w:sz w:val="22"/>
                <w:szCs w:val="22"/>
              </w:rPr>
            </w:pPr>
            <w:r w:rsidRPr="00846B41">
              <w:rPr>
                <w:b/>
                <w:bCs/>
                <w:color w:val="000000"/>
                <w:sz w:val="22"/>
                <w:szCs w:val="22"/>
              </w:rPr>
              <w:t>2</w:t>
            </w:r>
            <w:r w:rsidR="00EE5DAE">
              <w:rPr>
                <w:b/>
                <w:bCs/>
                <w:color w:val="000000"/>
                <w:sz w:val="22"/>
                <w:szCs w:val="22"/>
              </w:rPr>
              <w:t>22</w:t>
            </w:r>
            <w:r w:rsidRPr="00846B41">
              <w:rPr>
                <w:b/>
                <w:bCs/>
                <w:color w:val="000000"/>
                <w:sz w:val="22"/>
                <w:szCs w:val="22"/>
              </w:rPr>
              <w:t>,</w:t>
            </w:r>
            <w:r w:rsidR="00EE5DAE">
              <w:rPr>
                <w:b/>
                <w:bCs/>
                <w:color w:val="000000"/>
                <w:sz w:val="22"/>
                <w:szCs w:val="22"/>
              </w:rPr>
              <w:t>530</w:t>
            </w:r>
          </w:p>
        </w:tc>
        <w:tc>
          <w:tcPr>
            <w:tcW w:w="1096"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FE686A" w:rsidRPr="00846B41" w:rsidRDefault="00FE686A">
            <w:pPr>
              <w:autoSpaceDE w:val="0"/>
              <w:autoSpaceDN w:val="0"/>
              <w:adjustRightInd w:val="0"/>
              <w:jc w:val="center"/>
              <w:rPr>
                <w:color w:val="000000"/>
                <w:sz w:val="22"/>
                <w:szCs w:val="22"/>
              </w:rPr>
            </w:pPr>
            <w:r w:rsidRPr="00846B41">
              <w:rPr>
                <w:b/>
                <w:bCs/>
                <w:color w:val="000000"/>
                <w:sz w:val="22"/>
                <w:szCs w:val="22"/>
              </w:rPr>
              <w:t>100%</w:t>
            </w:r>
          </w:p>
        </w:tc>
      </w:tr>
    </w:tbl>
    <w:p w:rsidR="00FE686A" w:rsidRPr="00846B41" w:rsidRDefault="00FE686A">
      <w:pPr>
        <w:autoSpaceDE w:val="0"/>
        <w:autoSpaceDN w:val="0"/>
        <w:adjustRightInd w:val="0"/>
        <w:rPr>
          <w:color w:val="000000"/>
          <w:sz w:val="14"/>
          <w:szCs w:val="14"/>
        </w:rPr>
      </w:pPr>
    </w:p>
    <w:p w:rsidR="00FE686A" w:rsidRPr="00846B41" w:rsidRDefault="00FE686A">
      <w:pPr>
        <w:autoSpaceDE w:val="0"/>
        <w:autoSpaceDN w:val="0"/>
        <w:adjustRightInd w:val="0"/>
        <w:rPr>
          <w:b/>
          <w:bCs/>
          <w:color w:val="000000"/>
          <w:sz w:val="22"/>
          <w:szCs w:val="22"/>
        </w:rPr>
        <w:sectPr w:rsidR="00FE686A" w:rsidRPr="00846B41">
          <w:type w:val="continuous"/>
          <w:pgSz w:w="12240" w:h="15840"/>
          <w:pgMar w:top="1440" w:right="1800" w:bottom="1440" w:left="1800" w:header="720" w:footer="720" w:gutter="0"/>
          <w:cols w:space="720"/>
          <w:noEndnote/>
        </w:sectPr>
      </w:pPr>
    </w:p>
    <w:p w:rsidR="00FE686A" w:rsidRPr="00846B41" w:rsidRDefault="00FE686A">
      <w:pPr>
        <w:autoSpaceDE w:val="0"/>
        <w:autoSpaceDN w:val="0"/>
        <w:adjustRightInd w:val="0"/>
        <w:rPr>
          <w:color w:val="000000"/>
          <w:sz w:val="22"/>
          <w:szCs w:val="22"/>
        </w:rPr>
      </w:pPr>
    </w:p>
    <w:p w:rsidR="00FE686A" w:rsidRPr="00846B41" w:rsidRDefault="00FE686A">
      <w:pPr>
        <w:autoSpaceDE w:val="0"/>
        <w:autoSpaceDN w:val="0"/>
        <w:adjustRightInd w:val="0"/>
        <w:rPr>
          <w:color w:val="000000"/>
          <w:sz w:val="22"/>
          <w:szCs w:val="22"/>
        </w:rPr>
      </w:pPr>
    </w:p>
    <w:p w:rsidR="00FE686A" w:rsidRPr="00846B41" w:rsidRDefault="00FE686A">
      <w:pPr>
        <w:autoSpaceDE w:val="0"/>
        <w:autoSpaceDN w:val="0"/>
        <w:adjustRightInd w:val="0"/>
        <w:rPr>
          <w:color w:val="000000"/>
          <w:sz w:val="22"/>
          <w:szCs w:val="22"/>
        </w:rPr>
        <w:sectPr w:rsidR="00FE686A" w:rsidRPr="00846B41">
          <w:type w:val="continuous"/>
          <w:pgSz w:w="12240" w:h="15840"/>
          <w:pgMar w:top="1440" w:right="1800" w:bottom="1440" w:left="1800" w:header="720" w:footer="720" w:gutter="0"/>
          <w:cols w:num="2" w:space="720"/>
          <w:noEndnote/>
        </w:sectPr>
      </w:pPr>
    </w:p>
    <w:p w:rsidR="00FE686A" w:rsidRPr="00846B41" w:rsidRDefault="00FE686A">
      <w:pPr>
        <w:autoSpaceDE w:val="0"/>
        <w:autoSpaceDN w:val="0"/>
        <w:adjustRightInd w:val="0"/>
        <w:rPr>
          <w:color w:val="000000"/>
          <w:u w:val="single"/>
        </w:rPr>
      </w:pPr>
      <w:bookmarkStart w:id="0" w:name="OLE_LINK3"/>
      <w:bookmarkStart w:id="1" w:name="OLE_LINK4"/>
    </w:p>
    <w:p w:rsidR="00FE686A" w:rsidRPr="00846B41" w:rsidRDefault="007C061E">
      <w:pPr>
        <w:autoSpaceDE w:val="0"/>
        <w:autoSpaceDN w:val="0"/>
        <w:adjustRightInd w:val="0"/>
        <w:jc w:val="center"/>
        <w:rPr>
          <w:color w:val="000000"/>
          <w:sz w:val="32"/>
          <w:szCs w:val="32"/>
          <w:u w:val="single"/>
        </w:rPr>
      </w:pPr>
      <w:r>
        <w:rPr>
          <w:color w:val="000000"/>
          <w:sz w:val="32"/>
          <w:szCs w:val="32"/>
          <w:u w:val="single"/>
        </w:rPr>
        <w:t xml:space="preserve">Redetermination </w:t>
      </w:r>
      <w:r w:rsidR="00FE686A" w:rsidRPr="00846B41">
        <w:rPr>
          <w:color w:val="000000"/>
          <w:sz w:val="32"/>
          <w:szCs w:val="32"/>
          <w:u w:val="single"/>
        </w:rPr>
        <w:t>Dispositions</w:t>
      </w:r>
      <w:r>
        <w:rPr>
          <w:color w:val="000000"/>
          <w:sz w:val="32"/>
          <w:szCs w:val="32"/>
          <w:u w:val="single"/>
        </w:rPr>
        <w:t xml:space="preserve"> for 2009</w:t>
      </w:r>
    </w:p>
    <w:p w:rsidR="00FE686A" w:rsidRPr="00846B41" w:rsidRDefault="00FE686A">
      <w:pPr>
        <w:autoSpaceDE w:val="0"/>
        <w:autoSpaceDN w:val="0"/>
        <w:adjustRightInd w:val="0"/>
        <w:jc w:val="center"/>
        <w:rPr>
          <w:color w:val="000000"/>
          <w:sz w:val="32"/>
          <w:szCs w:val="32"/>
          <w:u w:val="single"/>
        </w:rPr>
      </w:pPr>
    </w:p>
    <w:p w:rsidR="00FE686A" w:rsidRPr="00846B41" w:rsidRDefault="00FE686A">
      <w:pPr>
        <w:autoSpaceDE w:val="0"/>
        <w:autoSpaceDN w:val="0"/>
        <w:adjustRightInd w:val="0"/>
        <w:jc w:val="center"/>
        <w:rPr>
          <w:color w:val="000000"/>
          <w:sz w:val="32"/>
          <w:szCs w:val="32"/>
          <w:u w:val="single"/>
        </w:rPr>
        <w:sectPr w:rsidR="00FE686A" w:rsidRPr="00846B41">
          <w:type w:val="continuous"/>
          <w:pgSz w:w="12240" w:h="15840"/>
          <w:pgMar w:top="1440" w:right="1800" w:bottom="1440" w:left="1800" w:header="720" w:footer="720" w:gutter="0"/>
          <w:cols w:space="720"/>
          <w:noEndnote/>
        </w:sectPr>
      </w:pPr>
    </w:p>
    <w:p w:rsidR="00594707" w:rsidRDefault="00FE686A" w:rsidP="00594707">
      <w:pPr>
        <w:autoSpaceDE w:val="0"/>
        <w:autoSpaceDN w:val="0"/>
        <w:adjustRightInd w:val="0"/>
        <w:rPr>
          <w:color w:val="000000"/>
          <w:sz w:val="28"/>
          <w:szCs w:val="28"/>
          <w:u w:val="single"/>
        </w:rPr>
      </w:pPr>
      <w:r w:rsidRPr="00267072">
        <w:rPr>
          <w:color w:val="000000"/>
          <w:sz w:val="28"/>
          <w:szCs w:val="28"/>
          <w:u w:val="single"/>
        </w:rPr>
        <w:lastRenderedPageBreak/>
        <w:t xml:space="preserve">Part </w:t>
      </w:r>
      <w:proofErr w:type="gramStart"/>
      <w:r w:rsidRPr="00267072">
        <w:rPr>
          <w:color w:val="000000"/>
          <w:sz w:val="28"/>
          <w:szCs w:val="28"/>
          <w:u w:val="single"/>
        </w:rPr>
        <w:t>A</w:t>
      </w:r>
      <w:proofErr w:type="gramEnd"/>
      <w:r w:rsidR="007C061E">
        <w:rPr>
          <w:color w:val="000000"/>
          <w:sz w:val="28"/>
          <w:szCs w:val="28"/>
          <w:u w:val="single"/>
        </w:rPr>
        <w:t xml:space="preserve"> Redeterminations</w:t>
      </w:r>
      <w:r w:rsidR="00594707" w:rsidRPr="00594707">
        <w:rPr>
          <w:color w:val="000000"/>
          <w:sz w:val="28"/>
          <w:szCs w:val="28"/>
        </w:rPr>
        <w:tab/>
      </w:r>
      <w:r w:rsidR="00594707" w:rsidRPr="00594707">
        <w:rPr>
          <w:color w:val="000000"/>
          <w:sz w:val="28"/>
          <w:szCs w:val="28"/>
        </w:rPr>
        <w:tab/>
      </w:r>
      <w:r w:rsidR="00594707" w:rsidRPr="00594707">
        <w:rPr>
          <w:color w:val="000000"/>
          <w:sz w:val="28"/>
          <w:szCs w:val="28"/>
        </w:rPr>
        <w:tab/>
      </w:r>
      <w:r w:rsidR="00594707" w:rsidRPr="00594707">
        <w:rPr>
          <w:color w:val="000000"/>
          <w:sz w:val="28"/>
          <w:szCs w:val="28"/>
        </w:rPr>
        <w:tab/>
      </w:r>
      <w:r w:rsidR="00594707" w:rsidRPr="00267072">
        <w:rPr>
          <w:color w:val="000000"/>
          <w:sz w:val="28"/>
          <w:szCs w:val="28"/>
          <w:u w:val="single"/>
        </w:rPr>
        <w:t xml:space="preserve">Part </w:t>
      </w:r>
      <w:r w:rsidR="00594707">
        <w:rPr>
          <w:color w:val="000000"/>
          <w:sz w:val="28"/>
          <w:szCs w:val="28"/>
          <w:u w:val="single"/>
        </w:rPr>
        <w:t>B Redeterminations</w:t>
      </w:r>
    </w:p>
    <w:p w:rsidR="00FE686A" w:rsidRDefault="00FE686A" w:rsidP="00D9223E">
      <w:pPr>
        <w:autoSpaceDE w:val="0"/>
        <w:autoSpaceDN w:val="0"/>
        <w:adjustRightInd w:val="0"/>
        <w:rPr>
          <w:color w:val="000000"/>
          <w:sz w:val="28"/>
          <w:szCs w:val="28"/>
          <w:u w:val="single"/>
        </w:rPr>
      </w:pPr>
    </w:p>
    <w:p w:rsidR="00594707" w:rsidRPr="00594707" w:rsidRDefault="00594707" w:rsidP="00594707">
      <w:pPr>
        <w:autoSpaceDE w:val="0"/>
        <w:autoSpaceDN w:val="0"/>
        <w:adjustRightInd w:val="0"/>
        <w:rPr>
          <w:color w:val="000000"/>
          <w:sz w:val="28"/>
          <w:szCs w:val="28"/>
        </w:rPr>
      </w:pPr>
      <w:r w:rsidRPr="00594707">
        <w:rPr>
          <w:noProof/>
          <w:color w:val="000000"/>
          <w:sz w:val="28"/>
          <w:szCs w:val="28"/>
        </w:rPr>
        <w:drawing>
          <wp:inline distT="0" distB="0" distL="0" distR="0">
            <wp:extent cx="2700828" cy="1246909"/>
            <wp:effectExtent l="19050" t="0" r="4272" b="0"/>
            <wp:docPr id="7"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594707">
        <w:rPr>
          <w:color w:val="000000"/>
          <w:sz w:val="28"/>
          <w:szCs w:val="28"/>
          <w:u w:val="single"/>
        </w:rPr>
        <w:t xml:space="preserve"> </w:t>
      </w:r>
      <w:r w:rsidRPr="00594707">
        <w:rPr>
          <w:noProof/>
          <w:color w:val="000000"/>
          <w:sz w:val="28"/>
          <w:szCs w:val="28"/>
        </w:rPr>
        <w:drawing>
          <wp:inline distT="0" distB="0" distL="0" distR="0">
            <wp:extent cx="2863215" cy="1246909"/>
            <wp:effectExtent l="19050" t="0" r="0" b="0"/>
            <wp:docPr id="8"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94707" w:rsidRDefault="00594707" w:rsidP="00594707">
      <w:pPr>
        <w:autoSpaceDE w:val="0"/>
        <w:autoSpaceDN w:val="0"/>
        <w:adjustRightInd w:val="0"/>
        <w:rPr>
          <w:color w:val="000000"/>
          <w:sz w:val="28"/>
          <w:szCs w:val="28"/>
          <w:u w:val="single"/>
        </w:rPr>
      </w:pPr>
    </w:p>
    <w:p w:rsidR="00FE686A" w:rsidRPr="00846B41" w:rsidRDefault="00FE686A" w:rsidP="00594707">
      <w:pPr>
        <w:autoSpaceDE w:val="0"/>
        <w:autoSpaceDN w:val="0"/>
        <w:adjustRightInd w:val="0"/>
        <w:rPr>
          <w:color w:val="000000"/>
          <w:sz w:val="28"/>
          <w:szCs w:val="28"/>
          <w:u w:val="single"/>
        </w:rPr>
        <w:sectPr w:rsidR="00FE686A" w:rsidRPr="00846B41" w:rsidSect="00082121">
          <w:type w:val="continuous"/>
          <w:pgSz w:w="12240" w:h="15840"/>
          <w:pgMar w:top="1440" w:right="1440" w:bottom="1440" w:left="1440" w:header="720" w:footer="720" w:gutter="0"/>
          <w:cols w:space="720"/>
          <w:noEndnote/>
        </w:sectPr>
      </w:pPr>
    </w:p>
    <w:p w:rsidR="00FE686A" w:rsidRPr="00267072" w:rsidRDefault="00FE686A" w:rsidP="00594707">
      <w:pPr>
        <w:autoSpaceDE w:val="0"/>
        <w:autoSpaceDN w:val="0"/>
        <w:adjustRightInd w:val="0"/>
        <w:rPr>
          <w:color w:val="000000"/>
          <w:sz w:val="28"/>
          <w:szCs w:val="28"/>
          <w:u w:val="single"/>
        </w:rPr>
        <w:sectPr w:rsidR="00FE686A" w:rsidRPr="00267072" w:rsidSect="00594707">
          <w:type w:val="continuous"/>
          <w:pgSz w:w="12240" w:h="15840"/>
          <w:pgMar w:top="1440" w:right="1800" w:bottom="1440" w:left="1440" w:header="720" w:footer="720" w:gutter="0"/>
          <w:cols w:space="720"/>
          <w:noEndnote/>
        </w:sectPr>
      </w:pPr>
      <w:r w:rsidRPr="00267072">
        <w:rPr>
          <w:color w:val="000000"/>
          <w:sz w:val="28"/>
          <w:szCs w:val="28"/>
          <w:u w:val="single"/>
        </w:rPr>
        <w:lastRenderedPageBreak/>
        <w:t>DME</w:t>
      </w:r>
      <w:r w:rsidR="007C061E">
        <w:rPr>
          <w:color w:val="000000"/>
          <w:sz w:val="28"/>
          <w:szCs w:val="28"/>
          <w:u w:val="single"/>
        </w:rPr>
        <w:t xml:space="preserve"> Redeterminations</w:t>
      </w:r>
    </w:p>
    <w:p w:rsidR="00FE686A" w:rsidRPr="00846B41" w:rsidRDefault="00FE686A">
      <w:pPr>
        <w:autoSpaceDE w:val="0"/>
        <w:autoSpaceDN w:val="0"/>
        <w:adjustRightInd w:val="0"/>
        <w:rPr>
          <w:color w:val="000000"/>
        </w:rPr>
        <w:sectPr w:rsidR="00FE686A" w:rsidRPr="00846B41">
          <w:type w:val="continuous"/>
          <w:pgSz w:w="12240" w:h="15840"/>
          <w:pgMar w:top="1440" w:right="1800" w:bottom="1440" w:left="1800" w:header="720" w:footer="720" w:gutter="0"/>
          <w:cols w:num="2" w:space="720"/>
          <w:noEndnote/>
        </w:sectPr>
      </w:pPr>
    </w:p>
    <w:p w:rsidR="00FE686A" w:rsidRPr="00846B41" w:rsidRDefault="00594707">
      <w:pPr>
        <w:autoSpaceDE w:val="0"/>
        <w:autoSpaceDN w:val="0"/>
        <w:adjustRightInd w:val="0"/>
        <w:rPr>
          <w:color w:val="000000"/>
          <w:u w:val="single"/>
        </w:rPr>
      </w:pPr>
      <w:r w:rsidRPr="003A2636">
        <w:rPr>
          <w:noProof/>
          <w:color w:val="000000"/>
        </w:rPr>
        <w:lastRenderedPageBreak/>
        <w:drawing>
          <wp:inline distT="0" distB="0" distL="0" distR="0">
            <wp:extent cx="2770909" cy="1676400"/>
            <wp:effectExtent l="19050" t="0" r="0" b="0"/>
            <wp:docPr id="9"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E686A" w:rsidRDefault="00FE686A">
      <w:pPr>
        <w:autoSpaceDE w:val="0"/>
        <w:autoSpaceDN w:val="0"/>
        <w:adjustRightInd w:val="0"/>
        <w:rPr>
          <w:color w:val="000000"/>
          <w:u w:val="single"/>
        </w:rPr>
      </w:pPr>
    </w:p>
    <w:p w:rsidR="00FE686A" w:rsidRPr="003A2636" w:rsidRDefault="00FE686A" w:rsidP="002F1C69">
      <w:pPr>
        <w:autoSpaceDE w:val="0"/>
        <w:autoSpaceDN w:val="0"/>
        <w:adjustRightInd w:val="0"/>
        <w:ind w:left="720" w:hanging="720"/>
        <w:rPr>
          <w:color w:val="000000"/>
          <w:sz w:val="16"/>
          <w:szCs w:val="16"/>
          <w:u w:val="single"/>
        </w:rPr>
      </w:pPr>
      <w:r w:rsidRPr="003A2636">
        <w:rPr>
          <w:sz w:val="16"/>
          <w:szCs w:val="16"/>
        </w:rPr>
        <w:t>Note:</w:t>
      </w:r>
      <w:r w:rsidR="002F1C69" w:rsidRPr="003A2636">
        <w:rPr>
          <w:sz w:val="16"/>
          <w:szCs w:val="16"/>
        </w:rPr>
        <w:tab/>
      </w:r>
      <w:r w:rsidRPr="003A2636">
        <w:rPr>
          <w:sz w:val="16"/>
          <w:szCs w:val="16"/>
        </w:rPr>
        <w:t>A “favorable” decision means that the appeal was successful and the claim in dispute was paid.  An “unfavorable” decision means that an appellants’ appeal was denied.  Calculation of the reversal rates above excludes cases that were dismissed.</w:t>
      </w:r>
      <w:r w:rsidRPr="003A2636">
        <w:rPr>
          <w:color w:val="000000"/>
          <w:sz w:val="16"/>
          <w:szCs w:val="16"/>
          <w:u w:val="single"/>
        </w:rPr>
        <w:br w:type="page"/>
      </w:r>
    </w:p>
    <w:p w:rsidR="00FE686A" w:rsidRDefault="007C061E">
      <w:pPr>
        <w:autoSpaceDE w:val="0"/>
        <w:autoSpaceDN w:val="0"/>
        <w:adjustRightInd w:val="0"/>
        <w:jc w:val="center"/>
        <w:rPr>
          <w:color w:val="000000"/>
          <w:sz w:val="32"/>
          <w:szCs w:val="32"/>
          <w:u w:val="single"/>
        </w:rPr>
      </w:pPr>
      <w:r>
        <w:rPr>
          <w:color w:val="000000"/>
          <w:sz w:val="32"/>
          <w:szCs w:val="32"/>
          <w:u w:val="single"/>
        </w:rPr>
        <w:lastRenderedPageBreak/>
        <w:t xml:space="preserve">2009 </w:t>
      </w:r>
      <w:r w:rsidR="00FE686A" w:rsidRPr="00846B41">
        <w:rPr>
          <w:color w:val="000000"/>
          <w:sz w:val="32"/>
          <w:szCs w:val="32"/>
          <w:u w:val="single"/>
        </w:rPr>
        <w:t>Redetermination Timeliness</w:t>
      </w:r>
    </w:p>
    <w:p w:rsidR="00082121" w:rsidRPr="00846B41" w:rsidRDefault="00082121">
      <w:pPr>
        <w:autoSpaceDE w:val="0"/>
        <w:autoSpaceDN w:val="0"/>
        <w:adjustRightInd w:val="0"/>
        <w:jc w:val="center"/>
        <w:rPr>
          <w:color w:val="000000"/>
          <w:sz w:val="32"/>
          <w:szCs w:val="32"/>
          <w:u w:val="single"/>
        </w:rPr>
      </w:pPr>
    </w:p>
    <w:p w:rsidR="00FE686A" w:rsidRPr="00846B41" w:rsidRDefault="00687F86">
      <w:pPr>
        <w:autoSpaceDE w:val="0"/>
        <w:autoSpaceDN w:val="0"/>
        <w:adjustRightInd w:val="0"/>
        <w:rPr>
          <w:color w:val="000000"/>
          <w:u w:val="single"/>
        </w:rPr>
      </w:pPr>
      <w:r>
        <w:rPr>
          <w:noProof/>
          <w:color w:val="000000"/>
          <w:u w:val="single"/>
        </w:rPr>
        <w:drawing>
          <wp:anchor distT="0" distB="0" distL="114300" distR="114300" simplePos="0" relativeHeight="251657216" behindDoc="0" locked="0" layoutInCell="1" allowOverlap="1">
            <wp:simplePos x="0" y="0"/>
            <wp:positionH relativeFrom="column">
              <wp:posOffset>137160</wp:posOffset>
            </wp:positionH>
            <wp:positionV relativeFrom="paragraph">
              <wp:posOffset>25400</wp:posOffset>
            </wp:positionV>
            <wp:extent cx="5673090" cy="3131820"/>
            <wp:effectExtent l="0" t="0" r="3810" b="0"/>
            <wp:wrapNone/>
            <wp:docPr id="6" name="Object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B25AE2" w:rsidRDefault="00FE686A">
      <w:pPr>
        <w:autoSpaceDE w:val="0"/>
        <w:autoSpaceDN w:val="0"/>
        <w:adjustRightInd w:val="0"/>
        <w:jc w:val="center"/>
        <w:rPr>
          <w:color w:val="000000"/>
          <w:sz w:val="20"/>
          <w:szCs w:val="20"/>
        </w:rPr>
      </w:pPr>
      <w:r w:rsidRPr="00B25AE2">
        <w:rPr>
          <w:color w:val="000000"/>
          <w:sz w:val="20"/>
          <w:szCs w:val="20"/>
        </w:rPr>
        <w:t xml:space="preserve">Note: </w:t>
      </w:r>
      <w:r w:rsidR="00082121">
        <w:rPr>
          <w:color w:val="000000"/>
          <w:sz w:val="20"/>
          <w:szCs w:val="20"/>
        </w:rPr>
        <w:t>Generally, a redetermination</w:t>
      </w:r>
      <w:r w:rsidRPr="00B25AE2">
        <w:rPr>
          <w:color w:val="000000"/>
          <w:sz w:val="20"/>
          <w:szCs w:val="20"/>
        </w:rPr>
        <w:t xml:space="preserve"> must be </w:t>
      </w:r>
      <w:r w:rsidR="00082121">
        <w:rPr>
          <w:color w:val="000000"/>
          <w:sz w:val="20"/>
          <w:szCs w:val="20"/>
        </w:rPr>
        <w:t>processed</w:t>
      </w:r>
      <w:r w:rsidRPr="00B25AE2">
        <w:rPr>
          <w:color w:val="000000"/>
          <w:sz w:val="20"/>
          <w:szCs w:val="20"/>
        </w:rPr>
        <w:t xml:space="preserve"> within 60 days </w:t>
      </w:r>
      <w:r w:rsidR="00082121">
        <w:rPr>
          <w:color w:val="000000"/>
          <w:sz w:val="20"/>
          <w:szCs w:val="20"/>
        </w:rPr>
        <w:t>to be considered timely</w:t>
      </w:r>
      <w:r w:rsidRPr="00B25AE2">
        <w:rPr>
          <w:color w:val="000000"/>
          <w:sz w:val="20"/>
          <w:szCs w:val="20"/>
        </w:rPr>
        <w:t>.</w:t>
      </w:r>
    </w:p>
    <w:p w:rsidR="00FE686A" w:rsidRPr="00B25AE2" w:rsidRDefault="00FE686A">
      <w:pPr>
        <w:autoSpaceDE w:val="0"/>
        <w:autoSpaceDN w:val="0"/>
        <w:adjustRightInd w:val="0"/>
        <w:rPr>
          <w:color w:val="000000"/>
          <w:sz w:val="20"/>
          <w:szCs w:val="2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FE686A" w:rsidRPr="00846B41" w:rsidRDefault="00FE686A">
      <w:pPr>
        <w:autoSpaceDE w:val="0"/>
        <w:autoSpaceDN w:val="0"/>
        <w:adjustRightInd w:val="0"/>
        <w:rPr>
          <w:color w:val="000000"/>
          <w:u w:val="single"/>
        </w:rPr>
      </w:pPr>
    </w:p>
    <w:p w:rsidR="00082121" w:rsidRDefault="00FE686A">
      <w:pPr>
        <w:autoSpaceDE w:val="0"/>
        <w:autoSpaceDN w:val="0"/>
        <w:adjustRightInd w:val="0"/>
        <w:rPr>
          <w:color w:val="000000"/>
          <w:sz w:val="28"/>
          <w:szCs w:val="28"/>
          <w:u w:val="single"/>
        </w:rPr>
      </w:pPr>
      <w:r w:rsidRPr="00846B41">
        <w:rPr>
          <w:color w:val="000000"/>
          <w:u w:val="single"/>
        </w:rPr>
        <w:br w:type="page"/>
      </w:r>
      <w:r w:rsidRPr="00846B41">
        <w:rPr>
          <w:color w:val="000000"/>
          <w:sz w:val="28"/>
          <w:szCs w:val="28"/>
          <w:u w:val="single"/>
        </w:rPr>
        <w:lastRenderedPageBreak/>
        <w:t>Reconsiderations</w:t>
      </w:r>
    </w:p>
    <w:p w:rsidR="00FE686A" w:rsidRPr="00846B41" w:rsidRDefault="00FE686A">
      <w:pPr>
        <w:autoSpaceDE w:val="0"/>
        <w:autoSpaceDN w:val="0"/>
        <w:adjustRightInd w:val="0"/>
        <w:rPr>
          <w:color w:val="000000"/>
          <w:sz w:val="28"/>
          <w:szCs w:val="28"/>
          <w:u w:val="single"/>
        </w:rPr>
      </w:pPr>
      <w:r w:rsidRPr="00846B41">
        <w:rPr>
          <w:color w:val="000000"/>
          <w:sz w:val="28"/>
          <w:szCs w:val="28"/>
          <w:u w:val="single"/>
        </w:rPr>
        <w:t xml:space="preserve"> </w:t>
      </w:r>
    </w:p>
    <w:p w:rsidR="00FE686A" w:rsidRDefault="00FE686A">
      <w:pPr>
        <w:autoSpaceDE w:val="0"/>
        <w:autoSpaceDN w:val="0"/>
        <w:adjustRightInd w:val="0"/>
        <w:rPr>
          <w:color w:val="000000"/>
        </w:rPr>
      </w:pPr>
      <w:r>
        <w:rPr>
          <w:color w:val="000000"/>
        </w:rPr>
        <w:t xml:space="preserve">All reconsiderations </w:t>
      </w:r>
      <w:r w:rsidRPr="00846B41">
        <w:rPr>
          <w:color w:val="000000"/>
        </w:rPr>
        <w:t>are adjudicated by the Qualified Independent Contractors (QICs).</w:t>
      </w:r>
      <w:bookmarkEnd w:id="0"/>
      <w:bookmarkEnd w:id="1"/>
      <w:r w:rsidRPr="00846B41">
        <w:rPr>
          <w:color w:val="000000"/>
        </w:rPr>
        <w:t xml:space="preserve"> </w:t>
      </w:r>
      <w:r w:rsidR="004235FE">
        <w:rPr>
          <w:color w:val="000000"/>
        </w:rPr>
        <w:t>In 2009, t</w:t>
      </w:r>
      <w:r w:rsidRPr="00846B41">
        <w:rPr>
          <w:color w:val="000000"/>
        </w:rPr>
        <w:t xml:space="preserve">here </w:t>
      </w:r>
      <w:r w:rsidR="004235FE">
        <w:rPr>
          <w:color w:val="000000"/>
        </w:rPr>
        <w:t>we</w:t>
      </w:r>
      <w:r w:rsidRPr="00846B41">
        <w:rPr>
          <w:color w:val="000000"/>
        </w:rPr>
        <w:t>re t</w:t>
      </w:r>
      <w:r w:rsidR="00D801A0">
        <w:rPr>
          <w:color w:val="000000"/>
        </w:rPr>
        <w:t>hree</w:t>
      </w:r>
      <w:r w:rsidRPr="00846B41">
        <w:rPr>
          <w:color w:val="000000"/>
        </w:rPr>
        <w:t xml:space="preserve"> Part </w:t>
      </w:r>
      <w:proofErr w:type="gramStart"/>
      <w:r w:rsidRPr="00846B41">
        <w:rPr>
          <w:color w:val="000000"/>
        </w:rPr>
        <w:t>A</w:t>
      </w:r>
      <w:proofErr w:type="gramEnd"/>
      <w:r w:rsidRPr="00846B41">
        <w:rPr>
          <w:color w:val="000000"/>
        </w:rPr>
        <w:t xml:space="preserve"> QICs, two Part B QICs, and one DME QIC</w:t>
      </w:r>
      <w:r w:rsidRPr="00267072">
        <w:rPr>
          <w:color w:val="000000"/>
        </w:rPr>
        <w:t xml:space="preserve">. </w:t>
      </w:r>
      <w:r>
        <w:rPr>
          <w:color w:val="000000"/>
        </w:rPr>
        <w:t>T</w:t>
      </w:r>
      <w:r w:rsidRPr="00267072">
        <w:rPr>
          <w:color w:val="000000"/>
        </w:rPr>
        <w:t>he QICs processed approximately 4</w:t>
      </w:r>
      <w:r w:rsidR="00757293">
        <w:rPr>
          <w:color w:val="000000"/>
        </w:rPr>
        <w:t>52</w:t>
      </w:r>
      <w:r w:rsidRPr="00267072">
        <w:rPr>
          <w:color w:val="000000"/>
        </w:rPr>
        <w:t>,000 appeals</w:t>
      </w:r>
      <w:r>
        <w:rPr>
          <w:color w:val="000000"/>
        </w:rPr>
        <w:t xml:space="preserve"> in 200</w:t>
      </w:r>
      <w:r w:rsidR="004235FE">
        <w:rPr>
          <w:color w:val="000000"/>
        </w:rPr>
        <w:t>9</w:t>
      </w:r>
      <w:r w:rsidRPr="00267072">
        <w:rPr>
          <w:color w:val="000000"/>
        </w:rPr>
        <w:t>.</w:t>
      </w:r>
      <w:r>
        <w:rPr>
          <w:color w:val="000000"/>
        </w:rPr>
        <w:t xml:space="preserve">  </w:t>
      </w:r>
    </w:p>
    <w:p w:rsidR="005B789E" w:rsidRDefault="005B789E">
      <w:pPr>
        <w:autoSpaceDE w:val="0"/>
        <w:autoSpaceDN w:val="0"/>
        <w:adjustRightInd w:val="0"/>
        <w:rPr>
          <w:color w:val="000000"/>
        </w:rPr>
      </w:pPr>
    </w:p>
    <w:p w:rsidR="00FE686A" w:rsidRDefault="00FE686A">
      <w:pPr>
        <w:autoSpaceDE w:val="0"/>
        <w:autoSpaceDN w:val="0"/>
        <w:adjustRightInd w:val="0"/>
      </w:pPr>
      <w:r w:rsidRPr="00846B41">
        <w:t xml:space="preserve">Please click on the following link for more information on </w:t>
      </w:r>
      <w:r>
        <w:t>reconsiderations</w:t>
      </w:r>
      <w:r w:rsidRPr="00846B41">
        <w:t>.</w:t>
      </w:r>
    </w:p>
    <w:p w:rsidR="00FE686A" w:rsidRPr="005B789E" w:rsidRDefault="00145405">
      <w:pPr>
        <w:autoSpaceDE w:val="0"/>
        <w:autoSpaceDN w:val="0"/>
        <w:adjustRightInd w:val="0"/>
        <w:rPr>
          <w:sz w:val="18"/>
          <w:szCs w:val="18"/>
        </w:rPr>
      </w:pPr>
      <w:hyperlink r:id="rId13" w:anchor="TopOfPage" w:history="1">
        <w:r w:rsidR="008F5306" w:rsidRPr="005B789E">
          <w:rPr>
            <w:rStyle w:val="Hyperlink"/>
            <w:sz w:val="18"/>
            <w:szCs w:val="18"/>
          </w:rPr>
          <w:t>http://www.cms.hhs.gov/OrgMedFFSAppeals/03_ReconsiderationbyaQualifiedIndependentContractor.asp#TopOfPage</w:t>
        </w:r>
      </w:hyperlink>
    </w:p>
    <w:p w:rsidR="00FE686A" w:rsidRDefault="00FE686A">
      <w:pPr>
        <w:autoSpaceDE w:val="0"/>
        <w:autoSpaceDN w:val="0"/>
        <w:adjustRightInd w:val="0"/>
        <w:rPr>
          <w:color w:val="000000"/>
          <w:sz w:val="22"/>
          <w:szCs w:val="22"/>
        </w:rPr>
      </w:pPr>
    </w:p>
    <w:p w:rsidR="00DA43EA" w:rsidRPr="00846B41" w:rsidRDefault="00DA43EA">
      <w:pPr>
        <w:autoSpaceDE w:val="0"/>
        <w:autoSpaceDN w:val="0"/>
        <w:adjustRightInd w:val="0"/>
        <w:rPr>
          <w:color w:val="000000"/>
          <w:sz w:val="22"/>
          <w:szCs w:val="22"/>
        </w:rPr>
        <w:sectPr w:rsidR="00DA43EA" w:rsidRPr="00846B41" w:rsidSect="007C061E">
          <w:type w:val="continuous"/>
          <w:pgSz w:w="12240" w:h="15840"/>
          <w:pgMar w:top="1440" w:right="1440" w:bottom="1440" w:left="1440" w:header="720" w:footer="720" w:gutter="0"/>
          <w:cols w:space="720"/>
          <w:noEndnote/>
        </w:sectPr>
      </w:pPr>
    </w:p>
    <w:p w:rsidR="00FE686A" w:rsidRDefault="00FE686A">
      <w:pPr>
        <w:autoSpaceDE w:val="0"/>
        <w:autoSpaceDN w:val="0"/>
        <w:adjustRightInd w:val="0"/>
        <w:jc w:val="center"/>
        <w:rPr>
          <w:color w:val="000000"/>
          <w:sz w:val="28"/>
          <w:szCs w:val="28"/>
          <w:u w:val="single"/>
        </w:rPr>
      </w:pPr>
      <w:r w:rsidRPr="00846B41">
        <w:rPr>
          <w:color w:val="000000"/>
          <w:sz w:val="28"/>
          <w:szCs w:val="28"/>
          <w:u w:val="single"/>
        </w:rPr>
        <w:lastRenderedPageBreak/>
        <w:t xml:space="preserve">Top 10 Part </w:t>
      </w:r>
      <w:proofErr w:type="gramStart"/>
      <w:r w:rsidRPr="00846B41">
        <w:rPr>
          <w:color w:val="000000"/>
          <w:sz w:val="28"/>
          <w:szCs w:val="28"/>
          <w:u w:val="single"/>
        </w:rPr>
        <w:t>A</w:t>
      </w:r>
      <w:proofErr w:type="gramEnd"/>
      <w:r w:rsidRPr="00846B41">
        <w:rPr>
          <w:color w:val="000000"/>
          <w:sz w:val="28"/>
          <w:szCs w:val="28"/>
          <w:u w:val="single"/>
        </w:rPr>
        <w:t xml:space="preserve"> </w:t>
      </w:r>
      <w:r w:rsidR="00557F23">
        <w:rPr>
          <w:color w:val="000000"/>
          <w:sz w:val="28"/>
          <w:szCs w:val="28"/>
          <w:u w:val="single"/>
        </w:rPr>
        <w:t xml:space="preserve">Reconsideration </w:t>
      </w:r>
      <w:r w:rsidRPr="00846B41">
        <w:rPr>
          <w:color w:val="000000"/>
          <w:sz w:val="28"/>
          <w:szCs w:val="28"/>
          <w:u w:val="single"/>
        </w:rPr>
        <w:t>Categories</w:t>
      </w:r>
      <w:r w:rsidR="00557F23">
        <w:rPr>
          <w:color w:val="000000"/>
          <w:sz w:val="28"/>
          <w:szCs w:val="28"/>
          <w:u w:val="single"/>
        </w:rPr>
        <w:t xml:space="preserve"> for 2009</w:t>
      </w:r>
    </w:p>
    <w:p w:rsidR="00557F23" w:rsidRPr="00846B41" w:rsidRDefault="00557F23">
      <w:pPr>
        <w:autoSpaceDE w:val="0"/>
        <w:autoSpaceDN w:val="0"/>
        <w:adjustRightInd w:val="0"/>
        <w:jc w:val="center"/>
        <w:rPr>
          <w:color w:val="000000"/>
          <w:sz w:val="28"/>
          <w:szCs w:val="28"/>
          <w:u w:val="single"/>
        </w:rPr>
      </w:pPr>
    </w:p>
    <w:tbl>
      <w:tblPr>
        <w:tblW w:w="9102" w:type="dxa"/>
        <w:tblInd w:w="96" w:type="dxa"/>
        <w:tblLayout w:type="fixed"/>
        <w:tblLook w:val="04A0"/>
      </w:tblPr>
      <w:tblGrid>
        <w:gridCol w:w="3342"/>
        <w:gridCol w:w="2790"/>
        <w:gridCol w:w="2970"/>
      </w:tblGrid>
      <w:tr w:rsidR="00557F23" w:rsidRPr="0084567D" w:rsidTr="00557F23">
        <w:trPr>
          <w:trHeight w:val="504"/>
        </w:trPr>
        <w:tc>
          <w:tcPr>
            <w:tcW w:w="3342" w:type="dxa"/>
            <w:tcBorders>
              <w:top w:val="single" w:sz="4" w:space="0" w:color="608BB4"/>
              <w:left w:val="single" w:sz="4" w:space="0" w:color="608BB4"/>
              <w:bottom w:val="single" w:sz="4" w:space="0" w:color="608BB4"/>
              <w:right w:val="single" w:sz="4" w:space="0" w:color="608BB4"/>
            </w:tcBorders>
            <w:shd w:val="clear" w:color="000000" w:fill="800000"/>
            <w:vAlign w:val="center"/>
            <w:hideMark/>
          </w:tcPr>
          <w:p w:rsidR="0084567D" w:rsidRPr="0084567D" w:rsidRDefault="0084567D" w:rsidP="0084567D">
            <w:pPr>
              <w:jc w:val="center"/>
              <w:rPr>
                <w:rFonts w:ascii="Verdana" w:hAnsi="Verdana" w:cs="Arial"/>
                <w:b/>
                <w:bCs/>
                <w:color w:val="FFFFFF"/>
                <w:sz w:val="20"/>
                <w:szCs w:val="20"/>
              </w:rPr>
            </w:pPr>
            <w:r w:rsidRPr="0084567D">
              <w:rPr>
                <w:rFonts w:ascii="Verdana" w:hAnsi="Verdana" w:cs="Arial"/>
                <w:b/>
                <w:bCs/>
                <w:color w:val="FFFFFF"/>
                <w:sz w:val="20"/>
                <w:szCs w:val="20"/>
              </w:rPr>
              <w:t>Appeal Category</w:t>
            </w:r>
          </w:p>
        </w:tc>
        <w:tc>
          <w:tcPr>
            <w:tcW w:w="2790" w:type="dxa"/>
            <w:tcBorders>
              <w:top w:val="single" w:sz="4" w:space="0" w:color="608BB4"/>
              <w:left w:val="nil"/>
              <w:bottom w:val="single" w:sz="4" w:space="0" w:color="608BB4"/>
              <w:right w:val="single" w:sz="4" w:space="0" w:color="608BB4"/>
            </w:tcBorders>
            <w:shd w:val="clear" w:color="000000" w:fill="800000"/>
            <w:vAlign w:val="center"/>
            <w:hideMark/>
          </w:tcPr>
          <w:p w:rsidR="0084567D" w:rsidRPr="0084567D" w:rsidRDefault="0084567D" w:rsidP="0084567D">
            <w:pPr>
              <w:jc w:val="center"/>
              <w:rPr>
                <w:rFonts w:ascii="Verdana" w:hAnsi="Verdana" w:cs="Arial"/>
                <w:b/>
                <w:bCs/>
                <w:color w:val="FFFFFF"/>
                <w:sz w:val="20"/>
                <w:szCs w:val="20"/>
              </w:rPr>
            </w:pPr>
            <w:r w:rsidRPr="0084567D">
              <w:rPr>
                <w:rFonts w:ascii="Verdana" w:hAnsi="Verdana" w:cs="Arial"/>
                <w:b/>
                <w:bCs/>
                <w:color w:val="FFFFFF"/>
                <w:sz w:val="20"/>
                <w:szCs w:val="20"/>
              </w:rPr>
              <w:t xml:space="preserve">Decided Claims </w:t>
            </w:r>
          </w:p>
        </w:tc>
        <w:tc>
          <w:tcPr>
            <w:tcW w:w="2970" w:type="dxa"/>
            <w:tcBorders>
              <w:top w:val="single" w:sz="4" w:space="0" w:color="608BB4"/>
              <w:left w:val="nil"/>
              <w:bottom w:val="single" w:sz="4" w:space="0" w:color="608BB4"/>
              <w:right w:val="single" w:sz="4" w:space="0" w:color="608BB4"/>
            </w:tcBorders>
            <w:shd w:val="clear" w:color="000000" w:fill="800000"/>
            <w:vAlign w:val="center"/>
            <w:hideMark/>
          </w:tcPr>
          <w:p w:rsidR="0084567D" w:rsidRPr="0084567D" w:rsidRDefault="0084567D" w:rsidP="0084567D">
            <w:pPr>
              <w:jc w:val="center"/>
              <w:rPr>
                <w:rFonts w:ascii="Verdana" w:hAnsi="Verdana" w:cs="Arial"/>
                <w:b/>
                <w:bCs/>
                <w:color w:val="FFFFFF"/>
                <w:sz w:val="20"/>
                <w:szCs w:val="20"/>
              </w:rPr>
            </w:pPr>
            <w:r w:rsidRPr="0084567D">
              <w:rPr>
                <w:rFonts w:ascii="Verdana" w:hAnsi="Verdana" w:cs="Arial"/>
                <w:b/>
                <w:bCs/>
                <w:color w:val="FFFFFF"/>
                <w:sz w:val="20"/>
                <w:szCs w:val="20"/>
              </w:rPr>
              <w:t>% of Total</w:t>
            </w:r>
          </w:p>
        </w:tc>
      </w:tr>
      <w:tr w:rsidR="00557F23" w:rsidRPr="0084567D" w:rsidTr="00713777">
        <w:trPr>
          <w:trHeight w:val="288"/>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84567D" w:rsidRPr="0084567D" w:rsidRDefault="0084567D" w:rsidP="00713777">
            <w:pPr>
              <w:rPr>
                <w:rFonts w:ascii="Verdana" w:hAnsi="Verdana" w:cs="Arial"/>
                <w:color w:val="000000"/>
                <w:sz w:val="20"/>
                <w:szCs w:val="20"/>
              </w:rPr>
            </w:pPr>
            <w:r w:rsidRPr="0084567D">
              <w:rPr>
                <w:rFonts w:ascii="Verdana" w:hAnsi="Verdana" w:cs="Arial"/>
                <w:color w:val="000000"/>
                <w:sz w:val="20"/>
                <w:szCs w:val="20"/>
              </w:rPr>
              <w:t>06-Outpatient Therapies / CORF</w:t>
            </w:r>
          </w:p>
        </w:tc>
        <w:tc>
          <w:tcPr>
            <w:tcW w:w="279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9</w:t>
            </w:r>
            <w:r w:rsidR="00713777">
              <w:rPr>
                <w:rFonts w:ascii="Arial" w:hAnsi="Arial" w:cs="Arial"/>
                <w:sz w:val="20"/>
                <w:szCs w:val="20"/>
              </w:rPr>
              <w:t>,</w:t>
            </w:r>
            <w:r w:rsidRPr="0084567D">
              <w:rPr>
                <w:rFonts w:ascii="Arial" w:hAnsi="Arial" w:cs="Arial"/>
                <w:sz w:val="20"/>
                <w:szCs w:val="20"/>
              </w:rPr>
              <w:t>375</w:t>
            </w:r>
          </w:p>
        </w:tc>
        <w:tc>
          <w:tcPr>
            <w:tcW w:w="297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15.5%</w:t>
            </w:r>
          </w:p>
        </w:tc>
      </w:tr>
      <w:tr w:rsidR="00557F23" w:rsidRPr="0084567D" w:rsidTr="00713777">
        <w:trPr>
          <w:trHeight w:val="288"/>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84567D" w:rsidRPr="0084567D" w:rsidRDefault="0084567D" w:rsidP="00713777">
            <w:pPr>
              <w:rPr>
                <w:rFonts w:ascii="Verdana" w:hAnsi="Verdana" w:cs="Arial"/>
                <w:color w:val="000000"/>
                <w:sz w:val="20"/>
                <w:szCs w:val="20"/>
              </w:rPr>
            </w:pPr>
            <w:r w:rsidRPr="0084567D">
              <w:rPr>
                <w:rFonts w:ascii="Verdana" w:hAnsi="Verdana" w:cs="Arial"/>
                <w:color w:val="000000"/>
                <w:sz w:val="20"/>
                <w:szCs w:val="20"/>
              </w:rPr>
              <w:t>03-Acute Inpatient Hospital</w:t>
            </w:r>
          </w:p>
        </w:tc>
        <w:tc>
          <w:tcPr>
            <w:tcW w:w="279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8</w:t>
            </w:r>
            <w:r w:rsidR="00713777">
              <w:rPr>
                <w:rFonts w:ascii="Arial" w:hAnsi="Arial" w:cs="Arial"/>
                <w:sz w:val="20"/>
                <w:szCs w:val="20"/>
              </w:rPr>
              <w:t>,</w:t>
            </w:r>
            <w:r w:rsidRPr="0084567D">
              <w:rPr>
                <w:rFonts w:ascii="Arial" w:hAnsi="Arial" w:cs="Arial"/>
                <w:sz w:val="20"/>
                <w:szCs w:val="20"/>
              </w:rPr>
              <w:t>643</w:t>
            </w:r>
          </w:p>
        </w:tc>
        <w:tc>
          <w:tcPr>
            <w:tcW w:w="297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14.3%</w:t>
            </w:r>
          </w:p>
        </w:tc>
      </w:tr>
      <w:tr w:rsidR="00557F23" w:rsidRPr="0084567D" w:rsidTr="00713777">
        <w:trPr>
          <w:trHeight w:val="288"/>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84567D" w:rsidRPr="0084567D" w:rsidRDefault="0084567D" w:rsidP="00713777">
            <w:pPr>
              <w:rPr>
                <w:rFonts w:ascii="Verdana" w:hAnsi="Verdana" w:cs="Arial"/>
                <w:color w:val="000000"/>
                <w:sz w:val="20"/>
                <w:szCs w:val="20"/>
              </w:rPr>
            </w:pPr>
            <w:r w:rsidRPr="0084567D">
              <w:rPr>
                <w:rFonts w:ascii="Verdana" w:hAnsi="Verdana" w:cs="Arial"/>
                <w:color w:val="000000"/>
                <w:sz w:val="20"/>
                <w:szCs w:val="20"/>
              </w:rPr>
              <w:t>08-Home Health</w:t>
            </w:r>
          </w:p>
        </w:tc>
        <w:tc>
          <w:tcPr>
            <w:tcW w:w="279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7</w:t>
            </w:r>
            <w:r w:rsidR="00713777">
              <w:rPr>
                <w:rFonts w:ascii="Arial" w:hAnsi="Arial" w:cs="Arial"/>
                <w:sz w:val="20"/>
                <w:szCs w:val="20"/>
              </w:rPr>
              <w:t>,</w:t>
            </w:r>
            <w:r w:rsidRPr="0084567D">
              <w:rPr>
                <w:rFonts w:ascii="Arial" w:hAnsi="Arial" w:cs="Arial"/>
                <w:sz w:val="20"/>
                <w:szCs w:val="20"/>
              </w:rPr>
              <w:t>159</w:t>
            </w:r>
          </w:p>
        </w:tc>
        <w:tc>
          <w:tcPr>
            <w:tcW w:w="297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11.9%</w:t>
            </w:r>
          </w:p>
        </w:tc>
      </w:tr>
      <w:tr w:rsidR="00557F23" w:rsidRPr="0084567D" w:rsidTr="00713777">
        <w:trPr>
          <w:trHeight w:val="288"/>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84567D" w:rsidRPr="0084567D" w:rsidRDefault="0084567D" w:rsidP="00713777">
            <w:pPr>
              <w:rPr>
                <w:rFonts w:ascii="Verdana" w:hAnsi="Verdana" w:cs="Arial"/>
                <w:color w:val="000000"/>
                <w:sz w:val="20"/>
                <w:szCs w:val="20"/>
              </w:rPr>
            </w:pPr>
            <w:r w:rsidRPr="0084567D">
              <w:rPr>
                <w:rFonts w:ascii="Verdana" w:hAnsi="Verdana" w:cs="Arial"/>
                <w:color w:val="000000"/>
                <w:sz w:val="20"/>
                <w:szCs w:val="20"/>
              </w:rPr>
              <w:t>41-Outpatient Hospital / ASC</w:t>
            </w:r>
          </w:p>
        </w:tc>
        <w:tc>
          <w:tcPr>
            <w:tcW w:w="279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7</w:t>
            </w:r>
            <w:r w:rsidR="00713777">
              <w:rPr>
                <w:rFonts w:ascii="Arial" w:hAnsi="Arial" w:cs="Arial"/>
                <w:sz w:val="20"/>
                <w:szCs w:val="20"/>
              </w:rPr>
              <w:t>,</w:t>
            </w:r>
            <w:r w:rsidRPr="0084567D">
              <w:rPr>
                <w:rFonts w:ascii="Arial" w:hAnsi="Arial" w:cs="Arial"/>
                <w:sz w:val="20"/>
                <w:szCs w:val="20"/>
              </w:rPr>
              <w:t>083</w:t>
            </w:r>
          </w:p>
        </w:tc>
        <w:tc>
          <w:tcPr>
            <w:tcW w:w="297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11.7%</w:t>
            </w:r>
          </w:p>
        </w:tc>
      </w:tr>
      <w:tr w:rsidR="00557F23" w:rsidRPr="0084567D" w:rsidTr="00713777">
        <w:trPr>
          <w:trHeight w:val="288"/>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84567D" w:rsidRPr="0084567D" w:rsidRDefault="0084567D" w:rsidP="00713777">
            <w:pPr>
              <w:rPr>
                <w:rFonts w:ascii="Verdana" w:hAnsi="Verdana" w:cs="Arial"/>
                <w:color w:val="000000"/>
                <w:sz w:val="20"/>
                <w:szCs w:val="20"/>
              </w:rPr>
            </w:pPr>
            <w:r w:rsidRPr="0084567D">
              <w:rPr>
                <w:rFonts w:ascii="Verdana" w:hAnsi="Verdana" w:cs="Arial"/>
                <w:color w:val="000000"/>
                <w:sz w:val="20"/>
                <w:szCs w:val="20"/>
              </w:rPr>
              <w:t>24-Skilled Nursing Facility</w:t>
            </w:r>
          </w:p>
        </w:tc>
        <w:tc>
          <w:tcPr>
            <w:tcW w:w="279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6</w:t>
            </w:r>
            <w:r w:rsidR="00713777">
              <w:rPr>
                <w:rFonts w:ascii="Arial" w:hAnsi="Arial" w:cs="Arial"/>
                <w:sz w:val="20"/>
                <w:szCs w:val="20"/>
              </w:rPr>
              <w:t>,</w:t>
            </w:r>
            <w:r w:rsidRPr="0084567D">
              <w:rPr>
                <w:rFonts w:ascii="Arial" w:hAnsi="Arial" w:cs="Arial"/>
                <w:sz w:val="20"/>
                <w:szCs w:val="20"/>
              </w:rPr>
              <w:t>301</w:t>
            </w:r>
          </w:p>
        </w:tc>
        <w:tc>
          <w:tcPr>
            <w:tcW w:w="297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10.4%</w:t>
            </w:r>
          </w:p>
        </w:tc>
      </w:tr>
      <w:tr w:rsidR="00557F23" w:rsidRPr="0084567D" w:rsidTr="00713777">
        <w:trPr>
          <w:trHeight w:val="288"/>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84567D" w:rsidRPr="0084567D" w:rsidRDefault="0084567D" w:rsidP="00713777">
            <w:pPr>
              <w:rPr>
                <w:rFonts w:ascii="Verdana" w:hAnsi="Verdana" w:cs="Arial"/>
                <w:color w:val="000000"/>
                <w:sz w:val="20"/>
                <w:szCs w:val="20"/>
              </w:rPr>
            </w:pPr>
            <w:r w:rsidRPr="0084567D">
              <w:rPr>
                <w:rFonts w:ascii="Verdana" w:hAnsi="Verdana" w:cs="Arial"/>
                <w:color w:val="000000"/>
                <w:sz w:val="20"/>
                <w:szCs w:val="20"/>
              </w:rPr>
              <w:t>11-Hospice</w:t>
            </w:r>
          </w:p>
        </w:tc>
        <w:tc>
          <w:tcPr>
            <w:tcW w:w="279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5</w:t>
            </w:r>
            <w:r w:rsidR="00713777">
              <w:rPr>
                <w:rFonts w:ascii="Arial" w:hAnsi="Arial" w:cs="Arial"/>
                <w:sz w:val="20"/>
                <w:szCs w:val="20"/>
              </w:rPr>
              <w:t>,</w:t>
            </w:r>
            <w:r w:rsidRPr="0084567D">
              <w:rPr>
                <w:rFonts w:ascii="Arial" w:hAnsi="Arial" w:cs="Arial"/>
                <w:sz w:val="20"/>
                <w:szCs w:val="20"/>
              </w:rPr>
              <w:t>421</w:t>
            </w:r>
          </w:p>
        </w:tc>
        <w:tc>
          <w:tcPr>
            <w:tcW w:w="297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9.0%</w:t>
            </w:r>
          </w:p>
        </w:tc>
      </w:tr>
      <w:tr w:rsidR="00557F23" w:rsidRPr="0084567D" w:rsidTr="00713777">
        <w:trPr>
          <w:trHeight w:val="288"/>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84567D" w:rsidRPr="0084567D" w:rsidRDefault="0084567D" w:rsidP="00713777">
            <w:pPr>
              <w:rPr>
                <w:rFonts w:ascii="Verdana" w:hAnsi="Verdana" w:cs="Arial"/>
                <w:color w:val="000000"/>
                <w:sz w:val="20"/>
                <w:szCs w:val="20"/>
              </w:rPr>
            </w:pPr>
            <w:r w:rsidRPr="0084567D">
              <w:rPr>
                <w:rFonts w:ascii="Verdana" w:hAnsi="Verdana" w:cs="Arial"/>
                <w:color w:val="000000"/>
                <w:sz w:val="20"/>
                <w:szCs w:val="20"/>
              </w:rPr>
              <w:t>42-Acute Inpatient Rehab</w:t>
            </w:r>
            <w:r w:rsidR="00713777">
              <w:rPr>
                <w:rFonts w:ascii="Verdana" w:hAnsi="Verdana" w:cs="Arial"/>
                <w:color w:val="000000"/>
                <w:sz w:val="20"/>
                <w:szCs w:val="20"/>
              </w:rPr>
              <w:t>ilitation</w:t>
            </w:r>
          </w:p>
        </w:tc>
        <w:tc>
          <w:tcPr>
            <w:tcW w:w="279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3</w:t>
            </w:r>
            <w:r w:rsidR="00713777">
              <w:rPr>
                <w:rFonts w:ascii="Arial" w:hAnsi="Arial" w:cs="Arial"/>
                <w:sz w:val="20"/>
                <w:szCs w:val="20"/>
              </w:rPr>
              <w:t>,</w:t>
            </w:r>
            <w:r w:rsidRPr="0084567D">
              <w:rPr>
                <w:rFonts w:ascii="Arial" w:hAnsi="Arial" w:cs="Arial"/>
                <w:sz w:val="20"/>
                <w:szCs w:val="20"/>
              </w:rPr>
              <w:t>292</w:t>
            </w:r>
          </w:p>
        </w:tc>
        <w:tc>
          <w:tcPr>
            <w:tcW w:w="297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5.5%</w:t>
            </w:r>
          </w:p>
        </w:tc>
      </w:tr>
      <w:tr w:rsidR="00557F23" w:rsidRPr="0084567D" w:rsidTr="00713777">
        <w:trPr>
          <w:trHeight w:val="288"/>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84567D" w:rsidRPr="0084567D" w:rsidRDefault="0084567D" w:rsidP="00713777">
            <w:pPr>
              <w:rPr>
                <w:rFonts w:ascii="Verdana" w:hAnsi="Verdana" w:cs="Arial"/>
                <w:color w:val="000000"/>
                <w:sz w:val="20"/>
                <w:szCs w:val="20"/>
              </w:rPr>
            </w:pPr>
            <w:r w:rsidRPr="0084567D">
              <w:rPr>
                <w:rFonts w:ascii="Verdana" w:hAnsi="Verdana" w:cs="Arial"/>
                <w:color w:val="000000"/>
                <w:sz w:val="20"/>
                <w:szCs w:val="20"/>
              </w:rPr>
              <w:t>32-Drugs</w:t>
            </w:r>
          </w:p>
        </w:tc>
        <w:tc>
          <w:tcPr>
            <w:tcW w:w="279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2</w:t>
            </w:r>
            <w:r w:rsidR="00713777">
              <w:rPr>
                <w:rFonts w:ascii="Arial" w:hAnsi="Arial" w:cs="Arial"/>
                <w:sz w:val="20"/>
                <w:szCs w:val="20"/>
              </w:rPr>
              <w:t>,</w:t>
            </w:r>
            <w:r w:rsidRPr="0084567D">
              <w:rPr>
                <w:rFonts w:ascii="Arial" w:hAnsi="Arial" w:cs="Arial"/>
                <w:sz w:val="20"/>
                <w:szCs w:val="20"/>
              </w:rPr>
              <w:t>926</w:t>
            </w:r>
          </w:p>
        </w:tc>
        <w:tc>
          <w:tcPr>
            <w:tcW w:w="297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4.9%</w:t>
            </w:r>
          </w:p>
        </w:tc>
      </w:tr>
      <w:tr w:rsidR="00557F23" w:rsidRPr="0084567D" w:rsidTr="00713777">
        <w:trPr>
          <w:trHeight w:val="288"/>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84567D" w:rsidRPr="0084567D" w:rsidRDefault="0084567D" w:rsidP="00713777">
            <w:pPr>
              <w:rPr>
                <w:rFonts w:ascii="Verdana" w:hAnsi="Verdana" w:cs="Arial"/>
                <w:color w:val="000000"/>
                <w:sz w:val="20"/>
                <w:szCs w:val="20"/>
              </w:rPr>
            </w:pPr>
            <w:r w:rsidRPr="0084567D">
              <w:rPr>
                <w:rFonts w:ascii="Verdana" w:hAnsi="Verdana" w:cs="Arial"/>
                <w:color w:val="000000"/>
                <w:sz w:val="20"/>
                <w:szCs w:val="20"/>
              </w:rPr>
              <w:t>80-MSP</w:t>
            </w:r>
          </w:p>
        </w:tc>
        <w:tc>
          <w:tcPr>
            <w:tcW w:w="279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2</w:t>
            </w:r>
            <w:r w:rsidR="00713777">
              <w:rPr>
                <w:rFonts w:ascii="Arial" w:hAnsi="Arial" w:cs="Arial"/>
                <w:sz w:val="20"/>
                <w:szCs w:val="20"/>
              </w:rPr>
              <w:t>,</w:t>
            </w:r>
            <w:r w:rsidRPr="0084567D">
              <w:rPr>
                <w:rFonts w:ascii="Arial" w:hAnsi="Arial" w:cs="Arial"/>
                <w:sz w:val="20"/>
                <w:szCs w:val="20"/>
              </w:rPr>
              <w:t>309</w:t>
            </w:r>
          </w:p>
        </w:tc>
        <w:tc>
          <w:tcPr>
            <w:tcW w:w="297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3.8%</w:t>
            </w:r>
          </w:p>
        </w:tc>
      </w:tr>
      <w:tr w:rsidR="00557F23" w:rsidRPr="0084567D" w:rsidTr="00713777">
        <w:trPr>
          <w:trHeight w:val="288"/>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84567D" w:rsidRPr="0084567D" w:rsidRDefault="0084567D" w:rsidP="00713777">
            <w:pPr>
              <w:rPr>
                <w:rFonts w:ascii="Verdana" w:hAnsi="Verdana" w:cs="Arial"/>
                <w:color w:val="000000"/>
                <w:sz w:val="20"/>
                <w:szCs w:val="20"/>
              </w:rPr>
            </w:pPr>
            <w:r w:rsidRPr="0084567D">
              <w:rPr>
                <w:rFonts w:ascii="Verdana" w:hAnsi="Verdana" w:cs="Arial"/>
                <w:color w:val="000000"/>
                <w:sz w:val="20"/>
                <w:szCs w:val="20"/>
              </w:rPr>
              <w:t>07-Ground Transportation</w:t>
            </w:r>
          </w:p>
        </w:tc>
        <w:tc>
          <w:tcPr>
            <w:tcW w:w="279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1</w:t>
            </w:r>
            <w:r w:rsidR="00713777">
              <w:rPr>
                <w:rFonts w:ascii="Arial" w:hAnsi="Arial" w:cs="Arial"/>
                <w:sz w:val="20"/>
                <w:szCs w:val="20"/>
              </w:rPr>
              <w:t>,</w:t>
            </w:r>
            <w:r w:rsidRPr="0084567D">
              <w:rPr>
                <w:rFonts w:ascii="Arial" w:hAnsi="Arial" w:cs="Arial"/>
                <w:sz w:val="20"/>
                <w:szCs w:val="20"/>
              </w:rPr>
              <w:t>771</w:t>
            </w:r>
          </w:p>
        </w:tc>
        <w:tc>
          <w:tcPr>
            <w:tcW w:w="2970" w:type="dxa"/>
            <w:tcBorders>
              <w:top w:val="nil"/>
              <w:left w:val="nil"/>
              <w:bottom w:val="single" w:sz="4" w:space="0" w:color="608BB4"/>
              <w:right w:val="single" w:sz="4" w:space="0" w:color="608BB4"/>
            </w:tcBorders>
            <w:shd w:val="clear" w:color="auto" w:fill="auto"/>
            <w:noWrap/>
            <w:vAlign w:val="center"/>
            <w:hideMark/>
          </w:tcPr>
          <w:p w:rsidR="0084567D" w:rsidRPr="0084567D" w:rsidRDefault="0084567D" w:rsidP="0084567D">
            <w:pPr>
              <w:jc w:val="center"/>
              <w:rPr>
                <w:rFonts w:ascii="Arial" w:hAnsi="Arial" w:cs="Arial"/>
                <w:sz w:val="20"/>
                <w:szCs w:val="20"/>
              </w:rPr>
            </w:pPr>
            <w:r w:rsidRPr="0084567D">
              <w:rPr>
                <w:rFonts w:ascii="Arial" w:hAnsi="Arial" w:cs="Arial"/>
                <w:sz w:val="20"/>
                <w:szCs w:val="20"/>
              </w:rPr>
              <w:t>2.9%</w:t>
            </w:r>
          </w:p>
        </w:tc>
      </w:tr>
    </w:tbl>
    <w:p w:rsidR="00FE686A" w:rsidRDefault="00FE686A">
      <w:pPr>
        <w:autoSpaceDE w:val="0"/>
        <w:autoSpaceDN w:val="0"/>
        <w:adjustRightInd w:val="0"/>
        <w:rPr>
          <w:color w:val="000000"/>
          <w:sz w:val="22"/>
          <w:szCs w:val="22"/>
        </w:rPr>
      </w:pPr>
    </w:p>
    <w:p w:rsidR="004235FE" w:rsidRDefault="004235FE">
      <w:pPr>
        <w:autoSpaceDE w:val="0"/>
        <w:autoSpaceDN w:val="0"/>
        <w:adjustRightInd w:val="0"/>
        <w:rPr>
          <w:color w:val="000000"/>
          <w:sz w:val="22"/>
          <w:szCs w:val="22"/>
        </w:rPr>
      </w:pPr>
    </w:p>
    <w:p w:rsidR="004235FE" w:rsidRPr="00846B41" w:rsidRDefault="004235FE" w:rsidP="004235FE">
      <w:pPr>
        <w:autoSpaceDE w:val="0"/>
        <w:autoSpaceDN w:val="0"/>
        <w:adjustRightInd w:val="0"/>
        <w:jc w:val="center"/>
        <w:rPr>
          <w:color w:val="000000"/>
          <w:sz w:val="28"/>
          <w:szCs w:val="28"/>
          <w:u w:val="single"/>
        </w:rPr>
      </w:pPr>
      <w:r w:rsidRPr="00846B41">
        <w:rPr>
          <w:color w:val="000000"/>
          <w:sz w:val="28"/>
          <w:szCs w:val="28"/>
          <w:u w:val="single"/>
        </w:rPr>
        <w:t xml:space="preserve">Top 10 Part </w:t>
      </w:r>
      <w:r>
        <w:rPr>
          <w:color w:val="000000"/>
          <w:sz w:val="28"/>
          <w:szCs w:val="28"/>
          <w:u w:val="single"/>
        </w:rPr>
        <w:t>B</w:t>
      </w:r>
      <w:r w:rsidRPr="00846B41">
        <w:rPr>
          <w:color w:val="000000"/>
          <w:sz w:val="28"/>
          <w:szCs w:val="28"/>
          <w:u w:val="single"/>
        </w:rPr>
        <w:t xml:space="preserve"> </w:t>
      </w:r>
      <w:r w:rsidR="00713777">
        <w:rPr>
          <w:color w:val="000000"/>
          <w:sz w:val="28"/>
          <w:szCs w:val="28"/>
          <w:u w:val="single"/>
        </w:rPr>
        <w:t xml:space="preserve">Reconsideration </w:t>
      </w:r>
      <w:r w:rsidR="00713777" w:rsidRPr="00846B41">
        <w:rPr>
          <w:color w:val="000000"/>
          <w:sz w:val="28"/>
          <w:szCs w:val="28"/>
          <w:u w:val="single"/>
        </w:rPr>
        <w:t>Categories</w:t>
      </w:r>
      <w:r w:rsidR="00713777">
        <w:rPr>
          <w:color w:val="000000"/>
          <w:sz w:val="28"/>
          <w:szCs w:val="28"/>
          <w:u w:val="single"/>
        </w:rPr>
        <w:t xml:space="preserve"> for 2009</w:t>
      </w:r>
    </w:p>
    <w:p w:rsidR="004235FE" w:rsidRDefault="004235FE">
      <w:pPr>
        <w:autoSpaceDE w:val="0"/>
        <w:autoSpaceDN w:val="0"/>
        <w:adjustRightInd w:val="0"/>
        <w:rPr>
          <w:color w:val="000000"/>
          <w:sz w:val="22"/>
          <w:szCs w:val="22"/>
        </w:rPr>
      </w:pPr>
    </w:p>
    <w:tbl>
      <w:tblPr>
        <w:tblW w:w="9102" w:type="dxa"/>
        <w:tblInd w:w="96" w:type="dxa"/>
        <w:tblLook w:val="04A0"/>
      </w:tblPr>
      <w:tblGrid>
        <w:gridCol w:w="3342"/>
        <w:gridCol w:w="2790"/>
        <w:gridCol w:w="2970"/>
      </w:tblGrid>
      <w:tr w:rsidR="00557F23" w:rsidRPr="00557F23" w:rsidTr="00713777">
        <w:trPr>
          <w:trHeight w:val="264"/>
        </w:trPr>
        <w:tc>
          <w:tcPr>
            <w:tcW w:w="3342" w:type="dxa"/>
            <w:tcBorders>
              <w:top w:val="single" w:sz="4" w:space="0" w:color="608BB4"/>
              <w:left w:val="single" w:sz="4" w:space="0" w:color="608BB4"/>
              <w:bottom w:val="single" w:sz="4" w:space="0" w:color="608BB4"/>
              <w:right w:val="single" w:sz="4" w:space="0" w:color="608BB4"/>
            </w:tcBorders>
            <w:shd w:val="clear" w:color="000000" w:fill="800000"/>
            <w:vAlign w:val="center"/>
            <w:hideMark/>
          </w:tcPr>
          <w:p w:rsidR="00557F23" w:rsidRPr="00557F23" w:rsidRDefault="00557F23" w:rsidP="00557F23">
            <w:pPr>
              <w:jc w:val="center"/>
              <w:rPr>
                <w:rFonts w:ascii="Verdana" w:hAnsi="Verdana" w:cs="Arial"/>
                <w:b/>
                <w:bCs/>
                <w:color w:val="FFFFFF"/>
                <w:sz w:val="20"/>
                <w:szCs w:val="20"/>
              </w:rPr>
            </w:pPr>
            <w:r w:rsidRPr="00557F23">
              <w:rPr>
                <w:rFonts w:ascii="Verdana" w:hAnsi="Verdana" w:cs="Arial"/>
                <w:b/>
                <w:bCs/>
                <w:color w:val="FFFFFF"/>
                <w:sz w:val="20"/>
                <w:szCs w:val="20"/>
              </w:rPr>
              <w:t>Appeal Category</w:t>
            </w:r>
          </w:p>
        </w:tc>
        <w:tc>
          <w:tcPr>
            <w:tcW w:w="2790" w:type="dxa"/>
            <w:tcBorders>
              <w:top w:val="single" w:sz="4" w:space="0" w:color="608BB4"/>
              <w:left w:val="nil"/>
              <w:bottom w:val="single" w:sz="4" w:space="0" w:color="608BB4"/>
              <w:right w:val="single" w:sz="4" w:space="0" w:color="608BB4"/>
            </w:tcBorders>
            <w:shd w:val="clear" w:color="000000" w:fill="800000"/>
            <w:vAlign w:val="center"/>
            <w:hideMark/>
          </w:tcPr>
          <w:p w:rsidR="00557F23" w:rsidRPr="00557F23" w:rsidRDefault="00557F23" w:rsidP="00557F23">
            <w:pPr>
              <w:jc w:val="center"/>
              <w:rPr>
                <w:rFonts w:ascii="Verdana" w:hAnsi="Verdana" w:cs="Arial"/>
                <w:b/>
                <w:bCs/>
                <w:color w:val="FFFFFF"/>
                <w:sz w:val="20"/>
                <w:szCs w:val="20"/>
              </w:rPr>
            </w:pPr>
            <w:r w:rsidRPr="00557F23">
              <w:rPr>
                <w:rFonts w:ascii="Verdana" w:hAnsi="Verdana" w:cs="Arial"/>
                <w:b/>
                <w:bCs/>
                <w:color w:val="FFFFFF"/>
                <w:sz w:val="20"/>
                <w:szCs w:val="20"/>
              </w:rPr>
              <w:t xml:space="preserve">Decided Claims </w:t>
            </w:r>
          </w:p>
        </w:tc>
        <w:tc>
          <w:tcPr>
            <w:tcW w:w="2970" w:type="dxa"/>
            <w:tcBorders>
              <w:top w:val="single" w:sz="4" w:space="0" w:color="608BB4"/>
              <w:left w:val="nil"/>
              <w:bottom w:val="single" w:sz="4" w:space="0" w:color="608BB4"/>
              <w:right w:val="single" w:sz="4" w:space="0" w:color="608BB4"/>
            </w:tcBorders>
            <w:shd w:val="clear" w:color="000000" w:fill="800000"/>
            <w:vAlign w:val="center"/>
            <w:hideMark/>
          </w:tcPr>
          <w:p w:rsidR="00557F23" w:rsidRPr="00557F23" w:rsidRDefault="00557F23" w:rsidP="00557F23">
            <w:pPr>
              <w:jc w:val="center"/>
              <w:rPr>
                <w:rFonts w:ascii="Verdana" w:hAnsi="Verdana" w:cs="Arial"/>
                <w:b/>
                <w:bCs/>
                <w:color w:val="FFFFFF"/>
                <w:sz w:val="20"/>
                <w:szCs w:val="20"/>
              </w:rPr>
            </w:pPr>
            <w:r w:rsidRPr="00557F23">
              <w:rPr>
                <w:rFonts w:ascii="Verdana" w:hAnsi="Verdana" w:cs="Arial"/>
                <w:b/>
                <w:bCs/>
                <w:color w:val="FFFFFF"/>
                <w:sz w:val="20"/>
                <w:szCs w:val="20"/>
              </w:rPr>
              <w:t>% of Total</w:t>
            </w:r>
          </w:p>
        </w:tc>
      </w:tr>
      <w:tr w:rsidR="00557F23" w:rsidRPr="00557F23" w:rsidTr="00713777">
        <w:trPr>
          <w:trHeight w:val="264"/>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557F23" w:rsidRPr="00557F23" w:rsidRDefault="00557F23" w:rsidP="00713777">
            <w:pPr>
              <w:rPr>
                <w:rFonts w:ascii="Verdana" w:hAnsi="Verdana" w:cs="Arial"/>
                <w:color w:val="000000"/>
                <w:sz w:val="20"/>
                <w:szCs w:val="20"/>
              </w:rPr>
            </w:pPr>
            <w:r w:rsidRPr="00557F23">
              <w:rPr>
                <w:rFonts w:ascii="Verdana" w:hAnsi="Verdana" w:cs="Arial"/>
                <w:color w:val="000000"/>
                <w:sz w:val="20"/>
                <w:szCs w:val="20"/>
              </w:rPr>
              <w:t>50-Other</w:t>
            </w:r>
            <w:r w:rsidR="00B41299">
              <w:rPr>
                <w:rFonts w:ascii="Verdana" w:hAnsi="Verdana" w:cs="Arial"/>
                <w:color w:val="000000"/>
                <w:sz w:val="20"/>
                <w:szCs w:val="20"/>
              </w:rPr>
              <w:t xml:space="preserve"> </w:t>
            </w:r>
            <w:r w:rsidR="00B41299" w:rsidRPr="00B41299">
              <w:rPr>
                <w:rFonts w:ascii="Verdana" w:hAnsi="Verdana"/>
                <w:bCs/>
                <w:color w:val="000000"/>
                <w:sz w:val="20"/>
                <w:szCs w:val="20"/>
              </w:rPr>
              <w:t>(Preventative Services, Vision, etc.)</w:t>
            </w:r>
          </w:p>
        </w:tc>
        <w:tc>
          <w:tcPr>
            <w:tcW w:w="279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90,428</w:t>
            </w:r>
          </w:p>
        </w:tc>
        <w:tc>
          <w:tcPr>
            <w:tcW w:w="297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30.6%</w:t>
            </w:r>
          </w:p>
        </w:tc>
      </w:tr>
      <w:tr w:rsidR="00557F23" w:rsidRPr="00557F23" w:rsidTr="00713777">
        <w:trPr>
          <w:trHeight w:val="593"/>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557F23" w:rsidRPr="00557F23" w:rsidRDefault="00557F23" w:rsidP="00C5011E">
            <w:pPr>
              <w:rPr>
                <w:rFonts w:ascii="Verdana" w:hAnsi="Verdana" w:cs="Arial"/>
                <w:color w:val="000000"/>
                <w:sz w:val="20"/>
                <w:szCs w:val="20"/>
              </w:rPr>
            </w:pPr>
            <w:r w:rsidRPr="00557F23">
              <w:rPr>
                <w:rFonts w:ascii="Verdana" w:hAnsi="Verdana" w:cs="Arial"/>
                <w:color w:val="000000"/>
                <w:sz w:val="20"/>
                <w:szCs w:val="20"/>
              </w:rPr>
              <w:t>65-</w:t>
            </w:r>
            <w:r w:rsidR="00C5011E">
              <w:rPr>
                <w:rFonts w:ascii="Verdana" w:hAnsi="Verdana" w:cs="Arial"/>
                <w:color w:val="000000"/>
                <w:sz w:val="20"/>
                <w:szCs w:val="20"/>
              </w:rPr>
              <w:t xml:space="preserve">Dermatological and </w:t>
            </w:r>
            <w:r w:rsidRPr="00557F23">
              <w:rPr>
                <w:rFonts w:ascii="Verdana" w:hAnsi="Verdana" w:cs="Arial"/>
                <w:color w:val="000000"/>
                <w:sz w:val="20"/>
                <w:szCs w:val="20"/>
              </w:rPr>
              <w:t>Musc</w:t>
            </w:r>
            <w:r w:rsidR="00C5011E">
              <w:rPr>
                <w:rFonts w:ascii="Verdana" w:hAnsi="Verdana" w:cs="Arial"/>
                <w:color w:val="000000"/>
                <w:sz w:val="20"/>
                <w:szCs w:val="20"/>
              </w:rPr>
              <w:t>ulo</w:t>
            </w:r>
            <w:r w:rsidRPr="00557F23">
              <w:rPr>
                <w:rFonts w:ascii="Verdana" w:hAnsi="Verdana" w:cs="Arial"/>
                <w:color w:val="000000"/>
                <w:sz w:val="20"/>
                <w:szCs w:val="20"/>
              </w:rPr>
              <w:t>skeletal Sur</w:t>
            </w:r>
            <w:r w:rsidR="00713777">
              <w:rPr>
                <w:rFonts w:ascii="Verdana" w:hAnsi="Verdana" w:cs="Arial"/>
                <w:color w:val="000000"/>
                <w:sz w:val="20"/>
                <w:szCs w:val="20"/>
              </w:rPr>
              <w:t>gery</w:t>
            </w:r>
          </w:p>
        </w:tc>
        <w:tc>
          <w:tcPr>
            <w:tcW w:w="279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25,895</w:t>
            </w:r>
          </w:p>
        </w:tc>
        <w:tc>
          <w:tcPr>
            <w:tcW w:w="297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8.8%</w:t>
            </w:r>
          </w:p>
        </w:tc>
      </w:tr>
      <w:tr w:rsidR="00557F23" w:rsidRPr="00557F23" w:rsidTr="00713777">
        <w:trPr>
          <w:trHeight w:val="359"/>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557F23" w:rsidRPr="00557F23" w:rsidRDefault="00557F23" w:rsidP="00713777">
            <w:pPr>
              <w:rPr>
                <w:rFonts w:ascii="Verdana" w:hAnsi="Verdana" w:cs="Arial"/>
                <w:color w:val="000000"/>
                <w:sz w:val="20"/>
                <w:szCs w:val="20"/>
              </w:rPr>
            </w:pPr>
            <w:r w:rsidRPr="00557F23">
              <w:rPr>
                <w:rFonts w:ascii="Verdana" w:hAnsi="Verdana" w:cs="Arial"/>
                <w:color w:val="000000"/>
                <w:sz w:val="20"/>
                <w:szCs w:val="20"/>
              </w:rPr>
              <w:t>07-Ground Transportation</w:t>
            </w:r>
          </w:p>
        </w:tc>
        <w:tc>
          <w:tcPr>
            <w:tcW w:w="279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24,147</w:t>
            </w:r>
          </w:p>
        </w:tc>
        <w:tc>
          <w:tcPr>
            <w:tcW w:w="297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8.2%</w:t>
            </w:r>
          </w:p>
        </w:tc>
      </w:tr>
      <w:tr w:rsidR="00557F23" w:rsidRPr="00557F23" w:rsidTr="00713777">
        <w:trPr>
          <w:trHeight w:val="350"/>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557F23" w:rsidRPr="00557F23" w:rsidRDefault="00557F23" w:rsidP="00713777">
            <w:pPr>
              <w:rPr>
                <w:rFonts w:ascii="Verdana" w:hAnsi="Verdana" w:cs="Arial"/>
                <w:color w:val="000000"/>
                <w:sz w:val="20"/>
                <w:szCs w:val="20"/>
              </w:rPr>
            </w:pPr>
            <w:r w:rsidRPr="00557F23">
              <w:rPr>
                <w:rFonts w:ascii="Verdana" w:hAnsi="Verdana" w:cs="Arial"/>
                <w:color w:val="000000"/>
                <w:sz w:val="20"/>
                <w:szCs w:val="20"/>
              </w:rPr>
              <w:t>31-Imaging/Radiology</w:t>
            </w:r>
          </w:p>
        </w:tc>
        <w:tc>
          <w:tcPr>
            <w:tcW w:w="279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21,638</w:t>
            </w:r>
          </w:p>
        </w:tc>
        <w:tc>
          <w:tcPr>
            <w:tcW w:w="297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7.3%</w:t>
            </w:r>
          </w:p>
        </w:tc>
      </w:tr>
      <w:tr w:rsidR="00557F23" w:rsidRPr="00557F23" w:rsidTr="009961AC">
        <w:trPr>
          <w:trHeight w:val="305"/>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557F23" w:rsidRPr="00557F23" w:rsidRDefault="00557F23" w:rsidP="00713777">
            <w:pPr>
              <w:rPr>
                <w:rFonts w:ascii="Verdana" w:hAnsi="Verdana" w:cs="Arial"/>
                <w:color w:val="000000"/>
                <w:sz w:val="20"/>
                <w:szCs w:val="20"/>
              </w:rPr>
            </w:pPr>
            <w:r w:rsidRPr="00557F23">
              <w:rPr>
                <w:rFonts w:ascii="Verdana" w:hAnsi="Verdana" w:cs="Arial"/>
                <w:color w:val="000000"/>
                <w:sz w:val="20"/>
                <w:szCs w:val="20"/>
              </w:rPr>
              <w:t>60-Office E/M Services</w:t>
            </w:r>
          </w:p>
        </w:tc>
        <w:tc>
          <w:tcPr>
            <w:tcW w:w="279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16,326</w:t>
            </w:r>
          </w:p>
        </w:tc>
        <w:tc>
          <w:tcPr>
            <w:tcW w:w="297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5.5%</w:t>
            </w:r>
          </w:p>
        </w:tc>
      </w:tr>
      <w:tr w:rsidR="00557F23" w:rsidRPr="00557F23" w:rsidTr="00713777">
        <w:trPr>
          <w:trHeight w:val="620"/>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557F23" w:rsidRPr="00557F23" w:rsidRDefault="00557F23" w:rsidP="00713777">
            <w:pPr>
              <w:rPr>
                <w:rFonts w:ascii="Verdana" w:hAnsi="Verdana" w:cs="Arial"/>
                <w:color w:val="000000"/>
                <w:sz w:val="20"/>
                <w:szCs w:val="20"/>
              </w:rPr>
            </w:pPr>
            <w:r w:rsidRPr="00557F23">
              <w:rPr>
                <w:rFonts w:ascii="Verdana" w:hAnsi="Verdana" w:cs="Arial"/>
                <w:color w:val="000000"/>
                <w:sz w:val="20"/>
                <w:szCs w:val="20"/>
              </w:rPr>
              <w:t>66-Respiratory/</w:t>
            </w:r>
            <w:r w:rsidR="00713777" w:rsidRPr="00557F23">
              <w:rPr>
                <w:rFonts w:ascii="Verdana" w:hAnsi="Verdana" w:cs="Arial"/>
                <w:color w:val="000000"/>
                <w:sz w:val="20"/>
                <w:szCs w:val="20"/>
              </w:rPr>
              <w:t>Cardiov</w:t>
            </w:r>
            <w:r w:rsidR="00713777">
              <w:rPr>
                <w:rFonts w:ascii="Verdana" w:hAnsi="Verdana" w:cs="Arial"/>
                <w:color w:val="000000"/>
                <w:sz w:val="20"/>
                <w:szCs w:val="20"/>
              </w:rPr>
              <w:t>a</w:t>
            </w:r>
            <w:r w:rsidR="00713777" w:rsidRPr="00557F23">
              <w:rPr>
                <w:rFonts w:ascii="Verdana" w:hAnsi="Verdana" w:cs="Arial"/>
                <w:color w:val="000000"/>
                <w:sz w:val="20"/>
                <w:szCs w:val="20"/>
              </w:rPr>
              <w:t>sc</w:t>
            </w:r>
            <w:r w:rsidR="00713777">
              <w:rPr>
                <w:rFonts w:ascii="Verdana" w:hAnsi="Verdana" w:cs="Arial"/>
                <w:color w:val="000000"/>
                <w:sz w:val="20"/>
                <w:szCs w:val="20"/>
              </w:rPr>
              <w:t>u</w:t>
            </w:r>
            <w:r w:rsidR="00713777" w:rsidRPr="00557F23">
              <w:rPr>
                <w:rFonts w:ascii="Verdana" w:hAnsi="Verdana" w:cs="Arial"/>
                <w:color w:val="000000"/>
                <w:sz w:val="20"/>
                <w:szCs w:val="20"/>
              </w:rPr>
              <w:t>l</w:t>
            </w:r>
            <w:r w:rsidR="00713777">
              <w:rPr>
                <w:rFonts w:ascii="Verdana" w:hAnsi="Verdana" w:cs="Arial"/>
                <w:color w:val="000000"/>
                <w:sz w:val="20"/>
                <w:szCs w:val="20"/>
              </w:rPr>
              <w:t>a</w:t>
            </w:r>
            <w:r w:rsidR="00713777" w:rsidRPr="00557F23">
              <w:rPr>
                <w:rFonts w:ascii="Verdana" w:hAnsi="Verdana" w:cs="Arial"/>
                <w:color w:val="000000"/>
                <w:sz w:val="20"/>
                <w:szCs w:val="20"/>
              </w:rPr>
              <w:t>r</w:t>
            </w:r>
            <w:r w:rsidRPr="00557F23">
              <w:rPr>
                <w:rFonts w:ascii="Verdana" w:hAnsi="Verdana" w:cs="Arial"/>
                <w:color w:val="000000"/>
                <w:sz w:val="20"/>
                <w:szCs w:val="20"/>
              </w:rPr>
              <w:t xml:space="preserve"> Sur</w:t>
            </w:r>
            <w:r w:rsidR="00713777">
              <w:rPr>
                <w:rFonts w:ascii="Verdana" w:hAnsi="Verdana" w:cs="Arial"/>
                <w:color w:val="000000"/>
                <w:sz w:val="20"/>
                <w:szCs w:val="20"/>
              </w:rPr>
              <w:t>gery</w:t>
            </w:r>
          </w:p>
        </w:tc>
        <w:tc>
          <w:tcPr>
            <w:tcW w:w="279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13,109</w:t>
            </w:r>
          </w:p>
        </w:tc>
        <w:tc>
          <w:tcPr>
            <w:tcW w:w="297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4.4%</w:t>
            </w:r>
          </w:p>
        </w:tc>
      </w:tr>
      <w:tr w:rsidR="00557F23" w:rsidRPr="00557F23" w:rsidTr="00713777">
        <w:trPr>
          <w:trHeight w:val="264"/>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557F23" w:rsidRPr="00557F23" w:rsidRDefault="00557F23" w:rsidP="00713777">
            <w:pPr>
              <w:rPr>
                <w:rFonts w:ascii="Verdana" w:hAnsi="Verdana" w:cs="Arial"/>
                <w:color w:val="000000"/>
                <w:sz w:val="20"/>
                <w:szCs w:val="20"/>
              </w:rPr>
            </w:pPr>
            <w:r w:rsidRPr="00557F23">
              <w:rPr>
                <w:rFonts w:ascii="Verdana" w:hAnsi="Verdana" w:cs="Arial"/>
                <w:color w:val="000000"/>
                <w:sz w:val="20"/>
                <w:szCs w:val="20"/>
              </w:rPr>
              <w:t>39-</w:t>
            </w:r>
            <w:r w:rsidR="00713777">
              <w:rPr>
                <w:rFonts w:ascii="Verdana" w:hAnsi="Verdana" w:cs="Arial"/>
                <w:color w:val="000000"/>
                <w:sz w:val="20"/>
                <w:szCs w:val="20"/>
              </w:rPr>
              <w:t>Level 1</w:t>
            </w:r>
            <w:r w:rsidRPr="00557F23">
              <w:rPr>
                <w:rFonts w:ascii="Verdana" w:hAnsi="Verdana" w:cs="Arial"/>
                <w:color w:val="000000"/>
                <w:sz w:val="20"/>
                <w:szCs w:val="20"/>
              </w:rPr>
              <w:t xml:space="preserve"> Dismissal</w:t>
            </w:r>
          </w:p>
        </w:tc>
        <w:tc>
          <w:tcPr>
            <w:tcW w:w="279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12,748</w:t>
            </w:r>
          </w:p>
        </w:tc>
        <w:tc>
          <w:tcPr>
            <w:tcW w:w="297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4.3%</w:t>
            </w:r>
          </w:p>
        </w:tc>
      </w:tr>
      <w:tr w:rsidR="00557F23" w:rsidRPr="00557F23" w:rsidTr="00713777">
        <w:trPr>
          <w:trHeight w:val="350"/>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557F23" w:rsidRPr="00557F23" w:rsidRDefault="00557F23" w:rsidP="00713777">
            <w:pPr>
              <w:rPr>
                <w:rFonts w:ascii="Verdana" w:hAnsi="Verdana" w:cs="Arial"/>
                <w:color w:val="000000"/>
                <w:sz w:val="20"/>
                <w:szCs w:val="20"/>
              </w:rPr>
            </w:pPr>
            <w:r w:rsidRPr="00557F23">
              <w:rPr>
                <w:rFonts w:ascii="Verdana" w:hAnsi="Verdana" w:cs="Arial"/>
                <w:color w:val="000000"/>
                <w:sz w:val="20"/>
                <w:szCs w:val="20"/>
              </w:rPr>
              <w:t>79-Technical Denial</w:t>
            </w:r>
          </w:p>
        </w:tc>
        <w:tc>
          <w:tcPr>
            <w:tcW w:w="279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10,728</w:t>
            </w:r>
          </w:p>
        </w:tc>
        <w:tc>
          <w:tcPr>
            <w:tcW w:w="297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3.6%</w:t>
            </w:r>
          </w:p>
        </w:tc>
      </w:tr>
      <w:tr w:rsidR="00557F23" w:rsidRPr="00557F23" w:rsidTr="00713777">
        <w:trPr>
          <w:trHeight w:val="264"/>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557F23" w:rsidRPr="00557F23" w:rsidRDefault="00557F23" w:rsidP="00713777">
            <w:pPr>
              <w:rPr>
                <w:rFonts w:ascii="Verdana" w:hAnsi="Verdana" w:cs="Arial"/>
                <w:color w:val="000000"/>
                <w:sz w:val="20"/>
                <w:szCs w:val="20"/>
              </w:rPr>
            </w:pPr>
            <w:r w:rsidRPr="00557F23">
              <w:rPr>
                <w:rFonts w:ascii="Verdana" w:hAnsi="Verdana" w:cs="Arial"/>
                <w:color w:val="000000"/>
                <w:sz w:val="20"/>
                <w:szCs w:val="20"/>
              </w:rPr>
              <w:t>32-Drugs</w:t>
            </w:r>
          </w:p>
        </w:tc>
        <w:tc>
          <w:tcPr>
            <w:tcW w:w="279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10,393</w:t>
            </w:r>
          </w:p>
        </w:tc>
        <w:tc>
          <w:tcPr>
            <w:tcW w:w="297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3.5%</w:t>
            </w:r>
          </w:p>
        </w:tc>
      </w:tr>
      <w:tr w:rsidR="00557F23" w:rsidRPr="00557F23" w:rsidTr="00713777">
        <w:trPr>
          <w:trHeight w:val="341"/>
        </w:trPr>
        <w:tc>
          <w:tcPr>
            <w:tcW w:w="3342" w:type="dxa"/>
            <w:tcBorders>
              <w:top w:val="nil"/>
              <w:left w:val="single" w:sz="4" w:space="0" w:color="608BB4"/>
              <w:bottom w:val="single" w:sz="4" w:space="0" w:color="608BB4"/>
              <w:right w:val="single" w:sz="4" w:space="0" w:color="608BB4"/>
            </w:tcBorders>
            <w:shd w:val="clear" w:color="auto" w:fill="auto"/>
            <w:vAlign w:val="center"/>
            <w:hideMark/>
          </w:tcPr>
          <w:p w:rsidR="00557F23" w:rsidRPr="00557F23" w:rsidRDefault="00557F23" w:rsidP="00713777">
            <w:pPr>
              <w:rPr>
                <w:rFonts w:ascii="Verdana" w:hAnsi="Verdana" w:cs="Arial"/>
                <w:color w:val="000000"/>
                <w:sz w:val="20"/>
                <w:szCs w:val="20"/>
              </w:rPr>
            </w:pPr>
            <w:r w:rsidRPr="00557F23">
              <w:rPr>
                <w:rFonts w:ascii="Verdana" w:hAnsi="Verdana" w:cs="Arial"/>
                <w:color w:val="000000"/>
                <w:sz w:val="20"/>
                <w:szCs w:val="20"/>
              </w:rPr>
              <w:t>30-Pathology/Laboratory</w:t>
            </w:r>
          </w:p>
        </w:tc>
        <w:tc>
          <w:tcPr>
            <w:tcW w:w="279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10,100</w:t>
            </w:r>
          </w:p>
        </w:tc>
        <w:tc>
          <w:tcPr>
            <w:tcW w:w="2970" w:type="dxa"/>
            <w:tcBorders>
              <w:top w:val="nil"/>
              <w:left w:val="nil"/>
              <w:bottom w:val="single" w:sz="4" w:space="0" w:color="608BB4"/>
              <w:right w:val="single" w:sz="4" w:space="0" w:color="608BB4"/>
            </w:tcBorders>
            <w:shd w:val="clear" w:color="auto" w:fill="auto"/>
            <w:vAlign w:val="center"/>
            <w:hideMark/>
          </w:tcPr>
          <w:p w:rsidR="00557F23" w:rsidRPr="00557F23" w:rsidRDefault="00557F23" w:rsidP="00557F23">
            <w:pPr>
              <w:jc w:val="center"/>
              <w:rPr>
                <w:rFonts w:ascii="Verdana" w:hAnsi="Verdana" w:cs="Arial"/>
                <w:color w:val="000000"/>
                <w:sz w:val="20"/>
                <w:szCs w:val="20"/>
              </w:rPr>
            </w:pPr>
            <w:r w:rsidRPr="00557F23">
              <w:rPr>
                <w:rFonts w:ascii="Verdana" w:hAnsi="Verdana" w:cs="Arial"/>
                <w:color w:val="000000"/>
                <w:sz w:val="20"/>
                <w:szCs w:val="20"/>
              </w:rPr>
              <w:t>3.4%</w:t>
            </w:r>
          </w:p>
        </w:tc>
      </w:tr>
    </w:tbl>
    <w:p w:rsidR="00B03195" w:rsidRDefault="00B03195">
      <w:pPr>
        <w:autoSpaceDE w:val="0"/>
        <w:autoSpaceDN w:val="0"/>
        <w:adjustRightInd w:val="0"/>
        <w:rPr>
          <w:color w:val="000000"/>
          <w:sz w:val="22"/>
          <w:szCs w:val="22"/>
        </w:rPr>
      </w:pPr>
    </w:p>
    <w:p w:rsidR="004235FE" w:rsidRDefault="004235FE">
      <w:pPr>
        <w:autoSpaceDE w:val="0"/>
        <w:autoSpaceDN w:val="0"/>
        <w:adjustRightInd w:val="0"/>
        <w:rPr>
          <w:color w:val="000000"/>
          <w:sz w:val="22"/>
          <w:szCs w:val="22"/>
        </w:rPr>
      </w:pPr>
    </w:p>
    <w:p w:rsidR="004235FE" w:rsidRPr="00846B41" w:rsidRDefault="004235FE" w:rsidP="004235FE">
      <w:pPr>
        <w:autoSpaceDE w:val="0"/>
        <w:autoSpaceDN w:val="0"/>
        <w:adjustRightInd w:val="0"/>
        <w:jc w:val="center"/>
        <w:rPr>
          <w:color w:val="000000"/>
          <w:sz w:val="28"/>
          <w:szCs w:val="28"/>
          <w:u w:val="single"/>
        </w:rPr>
      </w:pPr>
      <w:r w:rsidRPr="00846B41">
        <w:rPr>
          <w:color w:val="000000"/>
          <w:sz w:val="28"/>
          <w:szCs w:val="28"/>
          <w:u w:val="single"/>
        </w:rPr>
        <w:lastRenderedPageBreak/>
        <w:t xml:space="preserve">Top 10 Part </w:t>
      </w:r>
      <w:r>
        <w:rPr>
          <w:color w:val="000000"/>
          <w:sz w:val="28"/>
          <w:szCs w:val="28"/>
          <w:u w:val="single"/>
        </w:rPr>
        <w:t>DME</w:t>
      </w:r>
      <w:r w:rsidRPr="00846B41">
        <w:rPr>
          <w:color w:val="000000"/>
          <w:sz w:val="28"/>
          <w:szCs w:val="28"/>
          <w:u w:val="single"/>
        </w:rPr>
        <w:t xml:space="preserve"> </w:t>
      </w:r>
      <w:r w:rsidR="00713777">
        <w:rPr>
          <w:color w:val="000000"/>
          <w:sz w:val="28"/>
          <w:szCs w:val="28"/>
          <w:u w:val="single"/>
        </w:rPr>
        <w:t xml:space="preserve">Reconsideration </w:t>
      </w:r>
      <w:r w:rsidR="00713777" w:rsidRPr="00846B41">
        <w:rPr>
          <w:color w:val="000000"/>
          <w:sz w:val="28"/>
          <w:szCs w:val="28"/>
          <w:u w:val="single"/>
        </w:rPr>
        <w:t>Categories</w:t>
      </w:r>
      <w:r w:rsidR="00713777">
        <w:rPr>
          <w:color w:val="000000"/>
          <w:sz w:val="28"/>
          <w:szCs w:val="28"/>
          <w:u w:val="single"/>
        </w:rPr>
        <w:t xml:space="preserve"> for 2009</w:t>
      </w:r>
    </w:p>
    <w:p w:rsidR="004235FE" w:rsidRPr="00846B41" w:rsidRDefault="004235FE">
      <w:pPr>
        <w:autoSpaceDE w:val="0"/>
        <w:autoSpaceDN w:val="0"/>
        <w:adjustRightInd w:val="0"/>
        <w:rPr>
          <w:color w:val="000000"/>
          <w:sz w:val="22"/>
          <w:szCs w:val="22"/>
        </w:rPr>
      </w:pPr>
    </w:p>
    <w:tbl>
      <w:tblPr>
        <w:tblW w:w="9102" w:type="dxa"/>
        <w:tblInd w:w="96" w:type="dxa"/>
        <w:tblLook w:val="04A0"/>
      </w:tblPr>
      <w:tblGrid>
        <w:gridCol w:w="3342"/>
        <w:gridCol w:w="2790"/>
        <w:gridCol w:w="2970"/>
      </w:tblGrid>
      <w:tr w:rsidR="00713777" w:rsidRPr="00713777" w:rsidTr="00713777">
        <w:trPr>
          <w:trHeight w:val="264"/>
        </w:trPr>
        <w:tc>
          <w:tcPr>
            <w:tcW w:w="3342" w:type="dxa"/>
            <w:tcBorders>
              <w:top w:val="single" w:sz="4" w:space="0" w:color="608BB4"/>
              <w:left w:val="single" w:sz="4" w:space="0" w:color="608BB4"/>
              <w:bottom w:val="nil"/>
              <w:right w:val="single" w:sz="4" w:space="0" w:color="608BB4"/>
            </w:tcBorders>
            <w:shd w:val="clear" w:color="000000" w:fill="800000"/>
            <w:vAlign w:val="center"/>
            <w:hideMark/>
          </w:tcPr>
          <w:p w:rsidR="00713777" w:rsidRPr="00713777" w:rsidRDefault="00713777" w:rsidP="00713777">
            <w:pPr>
              <w:jc w:val="center"/>
              <w:rPr>
                <w:rFonts w:ascii="Verdana" w:hAnsi="Verdana" w:cs="Arial"/>
                <w:b/>
                <w:bCs/>
                <w:color w:val="FFFFFF"/>
                <w:sz w:val="20"/>
                <w:szCs w:val="20"/>
              </w:rPr>
            </w:pPr>
            <w:r w:rsidRPr="00713777">
              <w:rPr>
                <w:rFonts w:ascii="Verdana" w:hAnsi="Verdana" w:cs="Arial"/>
                <w:b/>
                <w:bCs/>
                <w:color w:val="FFFFFF"/>
                <w:sz w:val="20"/>
                <w:szCs w:val="20"/>
              </w:rPr>
              <w:t>Appeal Category</w:t>
            </w:r>
          </w:p>
        </w:tc>
        <w:tc>
          <w:tcPr>
            <w:tcW w:w="2790" w:type="dxa"/>
            <w:tcBorders>
              <w:top w:val="single" w:sz="4" w:space="0" w:color="608BB4"/>
              <w:left w:val="nil"/>
              <w:bottom w:val="nil"/>
              <w:right w:val="single" w:sz="4" w:space="0" w:color="608BB4"/>
            </w:tcBorders>
            <w:shd w:val="clear" w:color="000000" w:fill="800000"/>
            <w:vAlign w:val="center"/>
            <w:hideMark/>
          </w:tcPr>
          <w:p w:rsidR="00713777" w:rsidRPr="00713777" w:rsidRDefault="00713777" w:rsidP="00713777">
            <w:pPr>
              <w:jc w:val="center"/>
              <w:rPr>
                <w:rFonts w:ascii="Verdana" w:hAnsi="Verdana" w:cs="Arial"/>
                <w:b/>
                <w:bCs/>
                <w:color w:val="FFFFFF"/>
                <w:sz w:val="20"/>
                <w:szCs w:val="20"/>
              </w:rPr>
            </w:pPr>
            <w:r w:rsidRPr="00713777">
              <w:rPr>
                <w:rFonts w:ascii="Verdana" w:hAnsi="Verdana" w:cs="Arial"/>
                <w:b/>
                <w:bCs/>
                <w:color w:val="FFFFFF"/>
                <w:sz w:val="20"/>
                <w:szCs w:val="20"/>
              </w:rPr>
              <w:t xml:space="preserve">Decided Claims </w:t>
            </w:r>
          </w:p>
        </w:tc>
        <w:tc>
          <w:tcPr>
            <w:tcW w:w="2970" w:type="dxa"/>
            <w:tcBorders>
              <w:top w:val="single" w:sz="4" w:space="0" w:color="608BB4"/>
              <w:left w:val="nil"/>
              <w:bottom w:val="nil"/>
              <w:right w:val="single" w:sz="4" w:space="0" w:color="608BB4"/>
            </w:tcBorders>
            <w:shd w:val="clear" w:color="000000" w:fill="800000"/>
            <w:vAlign w:val="center"/>
            <w:hideMark/>
          </w:tcPr>
          <w:p w:rsidR="00713777" w:rsidRPr="00713777" w:rsidRDefault="00713777" w:rsidP="00713777">
            <w:pPr>
              <w:jc w:val="center"/>
              <w:rPr>
                <w:rFonts w:ascii="Verdana" w:hAnsi="Verdana" w:cs="Arial"/>
                <w:b/>
                <w:bCs/>
                <w:color w:val="FFFFFF"/>
                <w:sz w:val="20"/>
                <w:szCs w:val="20"/>
              </w:rPr>
            </w:pPr>
            <w:r w:rsidRPr="00713777">
              <w:rPr>
                <w:rFonts w:ascii="Verdana" w:hAnsi="Verdana" w:cs="Arial"/>
                <w:b/>
                <w:bCs/>
                <w:color w:val="FFFFFF"/>
                <w:sz w:val="20"/>
                <w:szCs w:val="20"/>
              </w:rPr>
              <w:t>% of Total</w:t>
            </w:r>
          </w:p>
        </w:tc>
      </w:tr>
      <w:tr w:rsidR="00713777" w:rsidRPr="00713777" w:rsidTr="00713777">
        <w:trPr>
          <w:trHeight w:val="264"/>
        </w:trPr>
        <w:tc>
          <w:tcPr>
            <w:tcW w:w="3342" w:type="dxa"/>
            <w:tcBorders>
              <w:top w:val="single" w:sz="4" w:space="0" w:color="CCCCCC"/>
              <w:left w:val="single" w:sz="4" w:space="0" w:color="CCCCCC"/>
              <w:bottom w:val="single" w:sz="4" w:space="0" w:color="CCCCCC"/>
              <w:right w:val="single" w:sz="4" w:space="0" w:color="CCCCCC"/>
            </w:tcBorders>
            <w:shd w:val="clear" w:color="auto" w:fill="auto"/>
            <w:vAlign w:val="center"/>
            <w:hideMark/>
          </w:tcPr>
          <w:p w:rsidR="00713777" w:rsidRPr="00713777" w:rsidRDefault="00713777" w:rsidP="00713777">
            <w:pPr>
              <w:rPr>
                <w:rFonts w:ascii="Verdana" w:hAnsi="Verdana" w:cs="Arial"/>
                <w:color w:val="000000"/>
                <w:sz w:val="20"/>
                <w:szCs w:val="20"/>
              </w:rPr>
            </w:pPr>
            <w:r w:rsidRPr="00713777">
              <w:rPr>
                <w:rFonts w:ascii="Verdana" w:hAnsi="Verdana" w:cs="Arial"/>
                <w:color w:val="000000"/>
                <w:sz w:val="20"/>
                <w:szCs w:val="20"/>
              </w:rPr>
              <w:t>55-Miscellaneous DMEPOS</w:t>
            </w:r>
            <w:r w:rsidR="009961AC">
              <w:rPr>
                <w:rFonts w:ascii="Verdana" w:hAnsi="Verdana" w:cs="Arial"/>
                <w:color w:val="000000"/>
                <w:sz w:val="20"/>
                <w:szCs w:val="20"/>
              </w:rPr>
              <w:t xml:space="preserve"> (additional oxygen/wheelchair supplies, etc.)</w:t>
            </w:r>
          </w:p>
        </w:tc>
        <w:tc>
          <w:tcPr>
            <w:tcW w:w="2790" w:type="dxa"/>
            <w:tcBorders>
              <w:top w:val="single" w:sz="4" w:space="0" w:color="CCCCCC"/>
              <w:left w:val="nil"/>
              <w:bottom w:val="single" w:sz="4" w:space="0" w:color="CCCCCC"/>
              <w:right w:val="single" w:sz="4" w:space="0" w:color="CCCCCC"/>
            </w:tcBorders>
            <w:shd w:val="clear" w:color="auto" w:fill="auto"/>
            <w:vAlign w:val="center"/>
            <w:hideMark/>
          </w:tcPr>
          <w:p w:rsidR="00713777" w:rsidRPr="00713777" w:rsidRDefault="00713777" w:rsidP="00713777">
            <w:pPr>
              <w:jc w:val="center"/>
              <w:rPr>
                <w:rFonts w:ascii="Verdana" w:hAnsi="Verdana" w:cs="Arial"/>
                <w:color w:val="000000"/>
                <w:sz w:val="20"/>
                <w:szCs w:val="20"/>
              </w:rPr>
            </w:pPr>
            <w:r w:rsidRPr="00713777">
              <w:rPr>
                <w:rFonts w:ascii="Verdana" w:hAnsi="Verdana" w:cs="Arial"/>
                <w:color w:val="000000"/>
                <w:sz w:val="20"/>
                <w:szCs w:val="20"/>
              </w:rPr>
              <w:t>36,414</w:t>
            </w:r>
          </w:p>
        </w:tc>
        <w:tc>
          <w:tcPr>
            <w:tcW w:w="2970" w:type="dxa"/>
            <w:tcBorders>
              <w:top w:val="single" w:sz="4" w:space="0" w:color="CCCCCC"/>
              <w:left w:val="nil"/>
              <w:bottom w:val="single" w:sz="4" w:space="0" w:color="CCCCCC"/>
              <w:right w:val="single" w:sz="4" w:space="0" w:color="CCCCCC"/>
            </w:tcBorders>
            <w:shd w:val="clear" w:color="auto" w:fill="auto"/>
            <w:noWrap/>
            <w:vAlign w:val="center"/>
            <w:hideMark/>
          </w:tcPr>
          <w:p w:rsidR="00713777" w:rsidRPr="00713777" w:rsidRDefault="00713777" w:rsidP="00713777">
            <w:pPr>
              <w:jc w:val="center"/>
              <w:rPr>
                <w:rFonts w:ascii="Arial" w:hAnsi="Arial" w:cs="Arial"/>
                <w:sz w:val="20"/>
                <w:szCs w:val="20"/>
              </w:rPr>
            </w:pPr>
            <w:r w:rsidRPr="00713777">
              <w:rPr>
                <w:rFonts w:ascii="Arial" w:hAnsi="Arial" w:cs="Arial"/>
                <w:sz w:val="20"/>
                <w:szCs w:val="20"/>
              </w:rPr>
              <w:t>38.0%</w:t>
            </w:r>
          </w:p>
        </w:tc>
      </w:tr>
      <w:tr w:rsidR="00713777" w:rsidRPr="00713777" w:rsidTr="009961AC">
        <w:trPr>
          <w:trHeight w:val="305"/>
        </w:trPr>
        <w:tc>
          <w:tcPr>
            <w:tcW w:w="3342" w:type="dxa"/>
            <w:tcBorders>
              <w:top w:val="nil"/>
              <w:left w:val="single" w:sz="4" w:space="0" w:color="CCCCCC"/>
              <w:bottom w:val="single" w:sz="4" w:space="0" w:color="CCCCCC"/>
              <w:right w:val="single" w:sz="4" w:space="0" w:color="CCCCCC"/>
            </w:tcBorders>
            <w:shd w:val="clear" w:color="auto" w:fill="auto"/>
            <w:vAlign w:val="center"/>
            <w:hideMark/>
          </w:tcPr>
          <w:p w:rsidR="00713777" w:rsidRPr="00713777" w:rsidRDefault="00713777" w:rsidP="00713777">
            <w:pPr>
              <w:rPr>
                <w:rFonts w:ascii="Verdana" w:hAnsi="Verdana" w:cs="Arial"/>
                <w:color w:val="000000"/>
                <w:sz w:val="20"/>
                <w:szCs w:val="20"/>
              </w:rPr>
            </w:pPr>
            <w:r w:rsidRPr="00713777">
              <w:rPr>
                <w:rFonts w:ascii="Verdana" w:hAnsi="Verdana" w:cs="Arial"/>
                <w:color w:val="000000"/>
                <w:sz w:val="20"/>
                <w:szCs w:val="20"/>
              </w:rPr>
              <w:t>51-Medical/Surgical Supplies</w:t>
            </w:r>
          </w:p>
        </w:tc>
        <w:tc>
          <w:tcPr>
            <w:tcW w:w="2790" w:type="dxa"/>
            <w:tcBorders>
              <w:top w:val="nil"/>
              <w:left w:val="nil"/>
              <w:bottom w:val="single" w:sz="4" w:space="0" w:color="CCCCCC"/>
              <w:right w:val="single" w:sz="4" w:space="0" w:color="CCCCCC"/>
            </w:tcBorders>
            <w:shd w:val="clear" w:color="auto" w:fill="auto"/>
            <w:vAlign w:val="center"/>
            <w:hideMark/>
          </w:tcPr>
          <w:p w:rsidR="00713777" w:rsidRPr="00713777" w:rsidRDefault="00713777" w:rsidP="00713777">
            <w:pPr>
              <w:jc w:val="center"/>
              <w:rPr>
                <w:rFonts w:ascii="Verdana" w:hAnsi="Verdana" w:cs="Arial"/>
                <w:color w:val="000000"/>
                <w:sz w:val="20"/>
                <w:szCs w:val="20"/>
              </w:rPr>
            </w:pPr>
            <w:r w:rsidRPr="00713777">
              <w:rPr>
                <w:rFonts w:ascii="Verdana" w:hAnsi="Verdana" w:cs="Arial"/>
                <w:color w:val="000000"/>
                <w:sz w:val="20"/>
                <w:szCs w:val="20"/>
              </w:rPr>
              <w:t>20,044</w:t>
            </w:r>
          </w:p>
        </w:tc>
        <w:tc>
          <w:tcPr>
            <w:tcW w:w="2970" w:type="dxa"/>
            <w:tcBorders>
              <w:top w:val="nil"/>
              <w:left w:val="nil"/>
              <w:bottom w:val="single" w:sz="4" w:space="0" w:color="CCCCCC"/>
              <w:right w:val="single" w:sz="4" w:space="0" w:color="CCCCCC"/>
            </w:tcBorders>
            <w:shd w:val="clear" w:color="auto" w:fill="auto"/>
            <w:noWrap/>
            <w:vAlign w:val="center"/>
            <w:hideMark/>
          </w:tcPr>
          <w:p w:rsidR="00713777" w:rsidRPr="00713777" w:rsidRDefault="00713777" w:rsidP="00713777">
            <w:pPr>
              <w:jc w:val="center"/>
              <w:rPr>
                <w:rFonts w:ascii="Arial" w:hAnsi="Arial" w:cs="Arial"/>
                <w:sz w:val="20"/>
                <w:szCs w:val="20"/>
              </w:rPr>
            </w:pPr>
            <w:r w:rsidRPr="00713777">
              <w:rPr>
                <w:rFonts w:ascii="Arial" w:hAnsi="Arial" w:cs="Arial"/>
                <w:sz w:val="20"/>
                <w:szCs w:val="20"/>
              </w:rPr>
              <w:t>20.9%</w:t>
            </w:r>
          </w:p>
        </w:tc>
      </w:tr>
      <w:tr w:rsidR="00713777" w:rsidRPr="00713777" w:rsidTr="00713777">
        <w:trPr>
          <w:trHeight w:val="264"/>
        </w:trPr>
        <w:tc>
          <w:tcPr>
            <w:tcW w:w="3342" w:type="dxa"/>
            <w:tcBorders>
              <w:top w:val="nil"/>
              <w:left w:val="single" w:sz="4" w:space="0" w:color="CCCCCC"/>
              <w:bottom w:val="single" w:sz="4" w:space="0" w:color="CCCCCC"/>
              <w:right w:val="single" w:sz="4" w:space="0" w:color="CCCCCC"/>
            </w:tcBorders>
            <w:shd w:val="clear" w:color="auto" w:fill="auto"/>
            <w:vAlign w:val="center"/>
            <w:hideMark/>
          </w:tcPr>
          <w:p w:rsidR="00713777" w:rsidRPr="00713777" w:rsidRDefault="00713777" w:rsidP="00713777">
            <w:pPr>
              <w:rPr>
                <w:rFonts w:ascii="Verdana" w:hAnsi="Verdana" w:cs="Arial"/>
                <w:color w:val="000000"/>
                <w:sz w:val="20"/>
                <w:szCs w:val="20"/>
              </w:rPr>
            </w:pPr>
            <w:r w:rsidRPr="00713777">
              <w:rPr>
                <w:rFonts w:ascii="Verdana" w:hAnsi="Verdana" w:cs="Arial"/>
                <w:color w:val="000000"/>
                <w:sz w:val="20"/>
                <w:szCs w:val="20"/>
              </w:rPr>
              <w:t>54-Manual Wheelchairs</w:t>
            </w:r>
          </w:p>
        </w:tc>
        <w:tc>
          <w:tcPr>
            <w:tcW w:w="2790" w:type="dxa"/>
            <w:tcBorders>
              <w:top w:val="nil"/>
              <w:left w:val="nil"/>
              <w:bottom w:val="single" w:sz="4" w:space="0" w:color="CCCCCC"/>
              <w:right w:val="single" w:sz="4" w:space="0" w:color="CCCCCC"/>
            </w:tcBorders>
            <w:shd w:val="clear" w:color="auto" w:fill="auto"/>
            <w:vAlign w:val="center"/>
            <w:hideMark/>
          </w:tcPr>
          <w:p w:rsidR="00713777" w:rsidRPr="00713777" w:rsidRDefault="00713777" w:rsidP="00713777">
            <w:pPr>
              <w:jc w:val="center"/>
              <w:rPr>
                <w:rFonts w:ascii="Verdana" w:hAnsi="Verdana" w:cs="Arial"/>
                <w:color w:val="000000"/>
                <w:sz w:val="20"/>
                <w:szCs w:val="20"/>
              </w:rPr>
            </w:pPr>
            <w:r w:rsidRPr="00713777">
              <w:rPr>
                <w:rFonts w:ascii="Verdana" w:hAnsi="Verdana" w:cs="Arial"/>
                <w:color w:val="000000"/>
                <w:sz w:val="20"/>
                <w:szCs w:val="20"/>
              </w:rPr>
              <w:t>12,382</w:t>
            </w:r>
          </w:p>
        </w:tc>
        <w:tc>
          <w:tcPr>
            <w:tcW w:w="2970" w:type="dxa"/>
            <w:tcBorders>
              <w:top w:val="nil"/>
              <w:left w:val="nil"/>
              <w:bottom w:val="single" w:sz="4" w:space="0" w:color="CCCCCC"/>
              <w:right w:val="single" w:sz="4" w:space="0" w:color="CCCCCC"/>
            </w:tcBorders>
            <w:shd w:val="clear" w:color="auto" w:fill="auto"/>
            <w:noWrap/>
            <w:vAlign w:val="center"/>
            <w:hideMark/>
          </w:tcPr>
          <w:p w:rsidR="00713777" w:rsidRPr="00713777" w:rsidRDefault="00713777" w:rsidP="00713777">
            <w:pPr>
              <w:jc w:val="center"/>
              <w:rPr>
                <w:rFonts w:ascii="Arial" w:hAnsi="Arial" w:cs="Arial"/>
                <w:sz w:val="20"/>
                <w:szCs w:val="20"/>
              </w:rPr>
            </w:pPr>
            <w:r w:rsidRPr="00713777">
              <w:rPr>
                <w:rFonts w:ascii="Arial" w:hAnsi="Arial" w:cs="Arial"/>
                <w:sz w:val="20"/>
                <w:szCs w:val="20"/>
              </w:rPr>
              <w:t>12.9%</w:t>
            </w:r>
          </w:p>
        </w:tc>
      </w:tr>
      <w:tr w:rsidR="00713777" w:rsidRPr="00713777" w:rsidTr="00713777">
        <w:trPr>
          <w:trHeight w:val="264"/>
        </w:trPr>
        <w:tc>
          <w:tcPr>
            <w:tcW w:w="3342" w:type="dxa"/>
            <w:tcBorders>
              <w:top w:val="nil"/>
              <w:left w:val="single" w:sz="4" w:space="0" w:color="CCCCCC"/>
              <w:bottom w:val="single" w:sz="4" w:space="0" w:color="CCCCCC"/>
              <w:right w:val="single" w:sz="4" w:space="0" w:color="CCCCCC"/>
            </w:tcBorders>
            <w:shd w:val="clear" w:color="auto" w:fill="auto"/>
            <w:vAlign w:val="center"/>
            <w:hideMark/>
          </w:tcPr>
          <w:p w:rsidR="00713777" w:rsidRPr="00713777" w:rsidRDefault="00713777" w:rsidP="00713777">
            <w:pPr>
              <w:rPr>
                <w:rFonts w:ascii="Verdana" w:hAnsi="Verdana" w:cs="Arial"/>
                <w:color w:val="000000"/>
                <w:sz w:val="20"/>
                <w:szCs w:val="20"/>
              </w:rPr>
            </w:pPr>
            <w:r w:rsidRPr="00713777">
              <w:rPr>
                <w:rFonts w:ascii="Verdana" w:hAnsi="Verdana" w:cs="Arial"/>
                <w:color w:val="000000"/>
                <w:sz w:val="20"/>
                <w:szCs w:val="20"/>
              </w:rPr>
              <w:t>53-Oxygen</w:t>
            </w:r>
          </w:p>
        </w:tc>
        <w:tc>
          <w:tcPr>
            <w:tcW w:w="2790" w:type="dxa"/>
            <w:tcBorders>
              <w:top w:val="nil"/>
              <w:left w:val="nil"/>
              <w:bottom w:val="single" w:sz="4" w:space="0" w:color="CCCCCC"/>
              <w:right w:val="single" w:sz="4" w:space="0" w:color="CCCCCC"/>
            </w:tcBorders>
            <w:shd w:val="clear" w:color="auto" w:fill="auto"/>
            <w:vAlign w:val="center"/>
            <w:hideMark/>
          </w:tcPr>
          <w:p w:rsidR="00713777" w:rsidRPr="00713777" w:rsidRDefault="00713777" w:rsidP="00713777">
            <w:pPr>
              <w:jc w:val="center"/>
              <w:rPr>
                <w:rFonts w:ascii="Verdana" w:hAnsi="Verdana" w:cs="Arial"/>
                <w:color w:val="000000"/>
                <w:sz w:val="20"/>
                <w:szCs w:val="20"/>
              </w:rPr>
            </w:pPr>
            <w:r w:rsidRPr="00713777">
              <w:rPr>
                <w:rFonts w:ascii="Verdana" w:hAnsi="Verdana" w:cs="Arial"/>
                <w:color w:val="000000"/>
                <w:sz w:val="20"/>
                <w:szCs w:val="20"/>
              </w:rPr>
              <w:t>10,011</w:t>
            </w:r>
          </w:p>
        </w:tc>
        <w:tc>
          <w:tcPr>
            <w:tcW w:w="2970" w:type="dxa"/>
            <w:tcBorders>
              <w:top w:val="nil"/>
              <w:left w:val="nil"/>
              <w:bottom w:val="single" w:sz="4" w:space="0" w:color="CCCCCC"/>
              <w:right w:val="single" w:sz="4" w:space="0" w:color="CCCCCC"/>
            </w:tcBorders>
            <w:shd w:val="clear" w:color="auto" w:fill="auto"/>
            <w:noWrap/>
            <w:vAlign w:val="center"/>
            <w:hideMark/>
          </w:tcPr>
          <w:p w:rsidR="00713777" w:rsidRPr="00713777" w:rsidRDefault="00713777" w:rsidP="00713777">
            <w:pPr>
              <w:jc w:val="center"/>
              <w:rPr>
                <w:rFonts w:ascii="Arial" w:hAnsi="Arial" w:cs="Arial"/>
                <w:sz w:val="20"/>
                <w:szCs w:val="20"/>
              </w:rPr>
            </w:pPr>
            <w:r w:rsidRPr="00713777">
              <w:rPr>
                <w:rFonts w:ascii="Arial" w:hAnsi="Arial" w:cs="Arial"/>
                <w:sz w:val="20"/>
                <w:szCs w:val="20"/>
              </w:rPr>
              <w:t>10.4%</w:t>
            </w:r>
          </w:p>
        </w:tc>
      </w:tr>
      <w:tr w:rsidR="00713777" w:rsidRPr="00713777" w:rsidTr="009961AC">
        <w:trPr>
          <w:trHeight w:val="350"/>
        </w:trPr>
        <w:tc>
          <w:tcPr>
            <w:tcW w:w="3342" w:type="dxa"/>
            <w:tcBorders>
              <w:top w:val="nil"/>
              <w:left w:val="single" w:sz="4" w:space="0" w:color="CCCCCC"/>
              <w:bottom w:val="single" w:sz="4" w:space="0" w:color="CCCCCC"/>
              <w:right w:val="single" w:sz="4" w:space="0" w:color="CCCCCC"/>
            </w:tcBorders>
            <w:shd w:val="clear" w:color="auto" w:fill="auto"/>
            <w:vAlign w:val="center"/>
            <w:hideMark/>
          </w:tcPr>
          <w:p w:rsidR="00713777" w:rsidRPr="00713777" w:rsidRDefault="00713777" w:rsidP="00713777">
            <w:pPr>
              <w:rPr>
                <w:rFonts w:ascii="Verdana" w:hAnsi="Verdana" w:cs="Arial"/>
                <w:color w:val="000000"/>
                <w:sz w:val="20"/>
                <w:szCs w:val="20"/>
              </w:rPr>
            </w:pPr>
            <w:r w:rsidRPr="00713777">
              <w:rPr>
                <w:rFonts w:ascii="Verdana" w:hAnsi="Verdana" w:cs="Arial"/>
                <w:color w:val="000000"/>
                <w:sz w:val="20"/>
                <w:szCs w:val="20"/>
              </w:rPr>
              <w:t>58-Enteral/</w:t>
            </w:r>
            <w:proofErr w:type="spellStart"/>
            <w:r w:rsidRPr="00713777">
              <w:rPr>
                <w:rFonts w:ascii="Verdana" w:hAnsi="Verdana" w:cs="Arial"/>
                <w:color w:val="000000"/>
                <w:sz w:val="20"/>
                <w:szCs w:val="20"/>
              </w:rPr>
              <w:t>Parenteral</w:t>
            </w:r>
            <w:proofErr w:type="spellEnd"/>
            <w:r w:rsidRPr="00713777">
              <w:rPr>
                <w:rFonts w:ascii="Verdana" w:hAnsi="Verdana" w:cs="Arial"/>
                <w:color w:val="000000"/>
                <w:sz w:val="20"/>
                <w:szCs w:val="20"/>
              </w:rPr>
              <w:t xml:space="preserve"> Nutri</w:t>
            </w:r>
            <w:r>
              <w:rPr>
                <w:rFonts w:ascii="Verdana" w:hAnsi="Verdana" w:cs="Arial"/>
                <w:color w:val="000000"/>
                <w:sz w:val="20"/>
                <w:szCs w:val="20"/>
              </w:rPr>
              <w:t>tion</w:t>
            </w:r>
          </w:p>
        </w:tc>
        <w:tc>
          <w:tcPr>
            <w:tcW w:w="2790" w:type="dxa"/>
            <w:tcBorders>
              <w:top w:val="nil"/>
              <w:left w:val="nil"/>
              <w:bottom w:val="single" w:sz="4" w:space="0" w:color="CCCCCC"/>
              <w:right w:val="single" w:sz="4" w:space="0" w:color="CCCCCC"/>
            </w:tcBorders>
            <w:shd w:val="clear" w:color="auto" w:fill="auto"/>
            <w:vAlign w:val="center"/>
            <w:hideMark/>
          </w:tcPr>
          <w:p w:rsidR="00713777" w:rsidRPr="00713777" w:rsidRDefault="00713777" w:rsidP="00713777">
            <w:pPr>
              <w:jc w:val="center"/>
              <w:rPr>
                <w:rFonts w:ascii="Verdana" w:hAnsi="Verdana" w:cs="Arial"/>
                <w:color w:val="000000"/>
                <w:sz w:val="20"/>
                <w:szCs w:val="20"/>
              </w:rPr>
            </w:pPr>
            <w:r w:rsidRPr="00713777">
              <w:rPr>
                <w:rFonts w:ascii="Verdana" w:hAnsi="Verdana" w:cs="Arial"/>
                <w:color w:val="000000"/>
                <w:sz w:val="20"/>
                <w:szCs w:val="20"/>
              </w:rPr>
              <w:t>3,983</w:t>
            </w:r>
          </w:p>
        </w:tc>
        <w:tc>
          <w:tcPr>
            <w:tcW w:w="2970" w:type="dxa"/>
            <w:tcBorders>
              <w:top w:val="nil"/>
              <w:left w:val="nil"/>
              <w:bottom w:val="single" w:sz="4" w:space="0" w:color="CCCCCC"/>
              <w:right w:val="single" w:sz="4" w:space="0" w:color="CCCCCC"/>
            </w:tcBorders>
            <w:shd w:val="clear" w:color="auto" w:fill="auto"/>
            <w:noWrap/>
            <w:vAlign w:val="center"/>
            <w:hideMark/>
          </w:tcPr>
          <w:p w:rsidR="00713777" w:rsidRPr="00713777" w:rsidRDefault="00713777" w:rsidP="00713777">
            <w:pPr>
              <w:jc w:val="center"/>
              <w:rPr>
                <w:rFonts w:ascii="Arial" w:hAnsi="Arial" w:cs="Arial"/>
                <w:sz w:val="20"/>
                <w:szCs w:val="20"/>
              </w:rPr>
            </w:pPr>
            <w:r w:rsidRPr="00713777">
              <w:rPr>
                <w:rFonts w:ascii="Arial" w:hAnsi="Arial" w:cs="Arial"/>
                <w:sz w:val="20"/>
                <w:szCs w:val="20"/>
              </w:rPr>
              <w:t>4.2%</w:t>
            </w:r>
          </w:p>
        </w:tc>
      </w:tr>
      <w:tr w:rsidR="00713777" w:rsidRPr="00713777" w:rsidTr="00713777">
        <w:trPr>
          <w:trHeight w:val="264"/>
        </w:trPr>
        <w:tc>
          <w:tcPr>
            <w:tcW w:w="3342" w:type="dxa"/>
            <w:tcBorders>
              <w:top w:val="nil"/>
              <w:left w:val="single" w:sz="4" w:space="0" w:color="CCCCCC"/>
              <w:bottom w:val="single" w:sz="4" w:space="0" w:color="CCCCCC"/>
              <w:right w:val="single" w:sz="4" w:space="0" w:color="CCCCCC"/>
            </w:tcBorders>
            <w:shd w:val="clear" w:color="auto" w:fill="auto"/>
            <w:vAlign w:val="center"/>
            <w:hideMark/>
          </w:tcPr>
          <w:p w:rsidR="00713777" w:rsidRPr="00713777" w:rsidRDefault="00713777" w:rsidP="00713777">
            <w:pPr>
              <w:rPr>
                <w:rFonts w:ascii="Verdana" w:hAnsi="Verdana" w:cs="Arial"/>
                <w:color w:val="000000"/>
                <w:sz w:val="20"/>
                <w:szCs w:val="20"/>
              </w:rPr>
            </w:pPr>
            <w:r w:rsidRPr="00713777">
              <w:rPr>
                <w:rFonts w:ascii="Verdana" w:hAnsi="Verdana" w:cs="Arial"/>
                <w:color w:val="000000"/>
                <w:sz w:val="20"/>
                <w:szCs w:val="20"/>
              </w:rPr>
              <w:t>57-Drugs Miscellaneous</w:t>
            </w:r>
          </w:p>
        </w:tc>
        <w:tc>
          <w:tcPr>
            <w:tcW w:w="2790" w:type="dxa"/>
            <w:tcBorders>
              <w:top w:val="nil"/>
              <w:left w:val="nil"/>
              <w:bottom w:val="single" w:sz="4" w:space="0" w:color="CCCCCC"/>
              <w:right w:val="single" w:sz="4" w:space="0" w:color="CCCCCC"/>
            </w:tcBorders>
            <w:shd w:val="clear" w:color="auto" w:fill="auto"/>
            <w:vAlign w:val="center"/>
            <w:hideMark/>
          </w:tcPr>
          <w:p w:rsidR="00713777" w:rsidRPr="00713777" w:rsidRDefault="00713777" w:rsidP="00713777">
            <w:pPr>
              <w:jc w:val="center"/>
              <w:rPr>
                <w:rFonts w:ascii="Verdana" w:hAnsi="Verdana" w:cs="Arial"/>
                <w:color w:val="000000"/>
                <w:sz w:val="20"/>
                <w:szCs w:val="20"/>
              </w:rPr>
            </w:pPr>
            <w:r w:rsidRPr="00713777">
              <w:rPr>
                <w:rFonts w:ascii="Verdana" w:hAnsi="Verdana" w:cs="Arial"/>
                <w:color w:val="000000"/>
                <w:sz w:val="20"/>
                <w:szCs w:val="20"/>
              </w:rPr>
              <w:t>3,083</w:t>
            </w:r>
          </w:p>
        </w:tc>
        <w:tc>
          <w:tcPr>
            <w:tcW w:w="2970" w:type="dxa"/>
            <w:tcBorders>
              <w:top w:val="nil"/>
              <w:left w:val="nil"/>
              <w:bottom w:val="single" w:sz="4" w:space="0" w:color="CCCCCC"/>
              <w:right w:val="single" w:sz="4" w:space="0" w:color="CCCCCC"/>
            </w:tcBorders>
            <w:shd w:val="clear" w:color="auto" w:fill="auto"/>
            <w:noWrap/>
            <w:vAlign w:val="center"/>
            <w:hideMark/>
          </w:tcPr>
          <w:p w:rsidR="00713777" w:rsidRPr="00713777" w:rsidRDefault="00713777" w:rsidP="00713777">
            <w:pPr>
              <w:jc w:val="center"/>
              <w:rPr>
                <w:rFonts w:ascii="Arial" w:hAnsi="Arial" w:cs="Arial"/>
                <w:sz w:val="20"/>
                <w:szCs w:val="20"/>
              </w:rPr>
            </w:pPr>
            <w:r w:rsidRPr="00713777">
              <w:rPr>
                <w:rFonts w:ascii="Arial" w:hAnsi="Arial" w:cs="Arial"/>
                <w:sz w:val="20"/>
                <w:szCs w:val="20"/>
              </w:rPr>
              <w:t>3.2%</w:t>
            </w:r>
          </w:p>
        </w:tc>
      </w:tr>
      <w:tr w:rsidR="00713777" w:rsidRPr="00713777" w:rsidTr="00713777">
        <w:trPr>
          <w:trHeight w:val="264"/>
        </w:trPr>
        <w:tc>
          <w:tcPr>
            <w:tcW w:w="3342" w:type="dxa"/>
            <w:tcBorders>
              <w:top w:val="nil"/>
              <w:left w:val="single" w:sz="4" w:space="0" w:color="CCCCCC"/>
              <w:bottom w:val="single" w:sz="4" w:space="0" w:color="CCCCCC"/>
              <w:right w:val="single" w:sz="4" w:space="0" w:color="CCCCCC"/>
            </w:tcBorders>
            <w:shd w:val="clear" w:color="auto" w:fill="auto"/>
            <w:vAlign w:val="center"/>
            <w:hideMark/>
          </w:tcPr>
          <w:p w:rsidR="00713777" w:rsidRPr="00713777" w:rsidRDefault="00713777" w:rsidP="00713777">
            <w:pPr>
              <w:rPr>
                <w:rFonts w:ascii="Verdana" w:hAnsi="Verdana" w:cs="Arial"/>
                <w:color w:val="000000"/>
                <w:sz w:val="20"/>
                <w:szCs w:val="20"/>
              </w:rPr>
            </w:pPr>
            <w:r w:rsidRPr="00713777">
              <w:rPr>
                <w:rFonts w:ascii="Verdana" w:hAnsi="Verdana" w:cs="Arial"/>
                <w:color w:val="000000"/>
                <w:sz w:val="20"/>
                <w:szCs w:val="20"/>
              </w:rPr>
              <w:t>56-Orthoses</w:t>
            </w:r>
          </w:p>
        </w:tc>
        <w:tc>
          <w:tcPr>
            <w:tcW w:w="2790" w:type="dxa"/>
            <w:tcBorders>
              <w:top w:val="nil"/>
              <w:left w:val="nil"/>
              <w:bottom w:val="single" w:sz="4" w:space="0" w:color="CCCCCC"/>
              <w:right w:val="single" w:sz="4" w:space="0" w:color="CCCCCC"/>
            </w:tcBorders>
            <w:shd w:val="clear" w:color="auto" w:fill="auto"/>
            <w:vAlign w:val="center"/>
            <w:hideMark/>
          </w:tcPr>
          <w:p w:rsidR="00713777" w:rsidRPr="00713777" w:rsidRDefault="00713777" w:rsidP="00713777">
            <w:pPr>
              <w:jc w:val="center"/>
              <w:rPr>
                <w:rFonts w:ascii="Verdana" w:hAnsi="Verdana" w:cs="Arial"/>
                <w:color w:val="000000"/>
                <w:sz w:val="20"/>
                <w:szCs w:val="20"/>
              </w:rPr>
            </w:pPr>
            <w:r w:rsidRPr="00713777">
              <w:rPr>
                <w:rFonts w:ascii="Verdana" w:hAnsi="Verdana" w:cs="Arial"/>
                <w:color w:val="000000"/>
                <w:sz w:val="20"/>
                <w:szCs w:val="20"/>
              </w:rPr>
              <w:t>2,955</w:t>
            </w:r>
          </w:p>
        </w:tc>
        <w:tc>
          <w:tcPr>
            <w:tcW w:w="2970" w:type="dxa"/>
            <w:tcBorders>
              <w:top w:val="nil"/>
              <w:left w:val="nil"/>
              <w:bottom w:val="single" w:sz="4" w:space="0" w:color="CCCCCC"/>
              <w:right w:val="single" w:sz="4" w:space="0" w:color="CCCCCC"/>
            </w:tcBorders>
            <w:shd w:val="clear" w:color="auto" w:fill="auto"/>
            <w:noWrap/>
            <w:vAlign w:val="center"/>
            <w:hideMark/>
          </w:tcPr>
          <w:p w:rsidR="00713777" w:rsidRPr="00713777" w:rsidRDefault="00713777" w:rsidP="00713777">
            <w:pPr>
              <w:jc w:val="center"/>
              <w:rPr>
                <w:rFonts w:ascii="Arial" w:hAnsi="Arial" w:cs="Arial"/>
                <w:sz w:val="20"/>
                <w:szCs w:val="20"/>
              </w:rPr>
            </w:pPr>
            <w:r w:rsidRPr="00713777">
              <w:rPr>
                <w:rFonts w:ascii="Arial" w:hAnsi="Arial" w:cs="Arial"/>
                <w:sz w:val="20"/>
                <w:szCs w:val="20"/>
              </w:rPr>
              <w:t>3.1%</w:t>
            </w:r>
          </w:p>
        </w:tc>
      </w:tr>
      <w:tr w:rsidR="00713777" w:rsidRPr="00713777" w:rsidTr="00713777">
        <w:trPr>
          <w:trHeight w:val="504"/>
        </w:trPr>
        <w:tc>
          <w:tcPr>
            <w:tcW w:w="3342" w:type="dxa"/>
            <w:tcBorders>
              <w:top w:val="nil"/>
              <w:left w:val="single" w:sz="4" w:space="0" w:color="CCCCCC"/>
              <w:bottom w:val="single" w:sz="4" w:space="0" w:color="CCCCCC"/>
              <w:right w:val="single" w:sz="4" w:space="0" w:color="CCCCCC"/>
            </w:tcBorders>
            <w:shd w:val="clear" w:color="auto" w:fill="auto"/>
            <w:vAlign w:val="center"/>
            <w:hideMark/>
          </w:tcPr>
          <w:p w:rsidR="00713777" w:rsidRPr="00713777" w:rsidRDefault="00713777" w:rsidP="00713777">
            <w:pPr>
              <w:rPr>
                <w:rFonts w:ascii="Verdana" w:hAnsi="Verdana" w:cs="Arial"/>
                <w:color w:val="000000"/>
                <w:sz w:val="20"/>
                <w:szCs w:val="20"/>
              </w:rPr>
            </w:pPr>
            <w:r w:rsidRPr="00713777">
              <w:rPr>
                <w:rFonts w:ascii="Verdana" w:hAnsi="Verdana" w:cs="Arial"/>
                <w:color w:val="000000"/>
                <w:sz w:val="20"/>
                <w:szCs w:val="20"/>
              </w:rPr>
              <w:t>52-Hosp</w:t>
            </w:r>
            <w:r>
              <w:rPr>
                <w:rFonts w:ascii="Verdana" w:hAnsi="Verdana" w:cs="Arial"/>
                <w:color w:val="000000"/>
                <w:sz w:val="20"/>
                <w:szCs w:val="20"/>
              </w:rPr>
              <w:t>ital</w:t>
            </w:r>
            <w:r w:rsidRPr="00713777">
              <w:rPr>
                <w:rFonts w:ascii="Verdana" w:hAnsi="Verdana" w:cs="Arial"/>
                <w:color w:val="000000"/>
                <w:sz w:val="20"/>
                <w:szCs w:val="20"/>
              </w:rPr>
              <w:t xml:space="preserve"> Bed &amp; Support Surfaces</w:t>
            </w:r>
          </w:p>
        </w:tc>
        <w:tc>
          <w:tcPr>
            <w:tcW w:w="2790" w:type="dxa"/>
            <w:tcBorders>
              <w:top w:val="nil"/>
              <w:left w:val="nil"/>
              <w:bottom w:val="single" w:sz="4" w:space="0" w:color="CCCCCC"/>
              <w:right w:val="single" w:sz="4" w:space="0" w:color="CCCCCC"/>
            </w:tcBorders>
            <w:shd w:val="clear" w:color="auto" w:fill="auto"/>
            <w:vAlign w:val="center"/>
            <w:hideMark/>
          </w:tcPr>
          <w:p w:rsidR="00713777" w:rsidRPr="00713777" w:rsidRDefault="00713777" w:rsidP="00713777">
            <w:pPr>
              <w:jc w:val="center"/>
              <w:rPr>
                <w:rFonts w:ascii="Verdana" w:hAnsi="Verdana" w:cs="Arial"/>
                <w:color w:val="000000"/>
                <w:sz w:val="20"/>
                <w:szCs w:val="20"/>
              </w:rPr>
            </w:pPr>
            <w:r w:rsidRPr="00713777">
              <w:rPr>
                <w:rFonts w:ascii="Verdana" w:hAnsi="Verdana" w:cs="Arial"/>
                <w:color w:val="000000"/>
                <w:sz w:val="20"/>
                <w:szCs w:val="20"/>
              </w:rPr>
              <w:t>2,942</w:t>
            </w:r>
          </w:p>
        </w:tc>
        <w:tc>
          <w:tcPr>
            <w:tcW w:w="2970" w:type="dxa"/>
            <w:tcBorders>
              <w:top w:val="nil"/>
              <w:left w:val="nil"/>
              <w:bottom w:val="single" w:sz="4" w:space="0" w:color="CCCCCC"/>
              <w:right w:val="single" w:sz="4" w:space="0" w:color="CCCCCC"/>
            </w:tcBorders>
            <w:shd w:val="clear" w:color="auto" w:fill="auto"/>
            <w:noWrap/>
            <w:vAlign w:val="center"/>
            <w:hideMark/>
          </w:tcPr>
          <w:p w:rsidR="00713777" w:rsidRPr="00713777" w:rsidRDefault="00713777" w:rsidP="00713777">
            <w:pPr>
              <w:jc w:val="center"/>
              <w:rPr>
                <w:rFonts w:ascii="Arial" w:hAnsi="Arial" w:cs="Arial"/>
                <w:sz w:val="20"/>
                <w:szCs w:val="20"/>
              </w:rPr>
            </w:pPr>
            <w:r w:rsidRPr="00713777">
              <w:rPr>
                <w:rFonts w:ascii="Arial" w:hAnsi="Arial" w:cs="Arial"/>
                <w:sz w:val="20"/>
                <w:szCs w:val="20"/>
              </w:rPr>
              <w:t>3.1%</w:t>
            </w:r>
          </w:p>
        </w:tc>
      </w:tr>
      <w:tr w:rsidR="00713777" w:rsidRPr="00713777" w:rsidTr="00713777">
        <w:trPr>
          <w:trHeight w:val="504"/>
        </w:trPr>
        <w:tc>
          <w:tcPr>
            <w:tcW w:w="3342" w:type="dxa"/>
            <w:tcBorders>
              <w:top w:val="nil"/>
              <w:left w:val="single" w:sz="4" w:space="0" w:color="CCCCCC"/>
              <w:bottom w:val="single" w:sz="4" w:space="0" w:color="CCCCCC"/>
              <w:right w:val="single" w:sz="4" w:space="0" w:color="CCCCCC"/>
            </w:tcBorders>
            <w:shd w:val="clear" w:color="auto" w:fill="auto"/>
            <w:vAlign w:val="center"/>
            <w:hideMark/>
          </w:tcPr>
          <w:p w:rsidR="00713777" w:rsidRPr="00713777" w:rsidRDefault="00713777" w:rsidP="00713777">
            <w:pPr>
              <w:rPr>
                <w:rFonts w:ascii="Verdana" w:hAnsi="Verdana" w:cs="Arial"/>
                <w:color w:val="000000"/>
                <w:sz w:val="20"/>
                <w:szCs w:val="20"/>
              </w:rPr>
            </w:pPr>
            <w:r>
              <w:rPr>
                <w:rFonts w:ascii="Verdana" w:hAnsi="Verdana" w:cs="Arial"/>
                <w:color w:val="000000"/>
                <w:sz w:val="20"/>
                <w:szCs w:val="20"/>
              </w:rPr>
              <w:t>89-Positive</w:t>
            </w:r>
            <w:r w:rsidRPr="00713777">
              <w:rPr>
                <w:rFonts w:ascii="Verdana" w:hAnsi="Verdana" w:cs="Arial"/>
                <w:color w:val="000000"/>
                <w:sz w:val="20"/>
                <w:szCs w:val="20"/>
              </w:rPr>
              <w:t xml:space="preserve"> Airway Pressure Device</w:t>
            </w:r>
          </w:p>
        </w:tc>
        <w:tc>
          <w:tcPr>
            <w:tcW w:w="2790" w:type="dxa"/>
            <w:tcBorders>
              <w:top w:val="nil"/>
              <w:left w:val="nil"/>
              <w:bottom w:val="single" w:sz="4" w:space="0" w:color="CCCCCC"/>
              <w:right w:val="single" w:sz="4" w:space="0" w:color="CCCCCC"/>
            </w:tcBorders>
            <w:shd w:val="clear" w:color="auto" w:fill="auto"/>
            <w:vAlign w:val="center"/>
            <w:hideMark/>
          </w:tcPr>
          <w:p w:rsidR="00713777" w:rsidRPr="00713777" w:rsidRDefault="00713777" w:rsidP="00713777">
            <w:pPr>
              <w:jc w:val="center"/>
              <w:rPr>
                <w:rFonts w:ascii="Verdana" w:hAnsi="Verdana" w:cs="Arial"/>
                <w:color w:val="000000"/>
                <w:sz w:val="20"/>
                <w:szCs w:val="20"/>
              </w:rPr>
            </w:pPr>
            <w:r w:rsidRPr="00713777">
              <w:rPr>
                <w:rFonts w:ascii="Verdana" w:hAnsi="Verdana" w:cs="Arial"/>
                <w:color w:val="000000"/>
                <w:sz w:val="20"/>
                <w:szCs w:val="20"/>
              </w:rPr>
              <w:t>1,166</w:t>
            </w:r>
          </w:p>
        </w:tc>
        <w:tc>
          <w:tcPr>
            <w:tcW w:w="2970" w:type="dxa"/>
            <w:tcBorders>
              <w:top w:val="nil"/>
              <w:left w:val="nil"/>
              <w:bottom w:val="single" w:sz="4" w:space="0" w:color="CCCCCC"/>
              <w:right w:val="single" w:sz="4" w:space="0" w:color="CCCCCC"/>
            </w:tcBorders>
            <w:shd w:val="clear" w:color="auto" w:fill="auto"/>
            <w:noWrap/>
            <w:vAlign w:val="center"/>
            <w:hideMark/>
          </w:tcPr>
          <w:p w:rsidR="00713777" w:rsidRPr="00713777" w:rsidRDefault="00713777" w:rsidP="00713777">
            <w:pPr>
              <w:jc w:val="center"/>
              <w:rPr>
                <w:rFonts w:ascii="Arial" w:hAnsi="Arial" w:cs="Arial"/>
                <w:sz w:val="20"/>
                <w:szCs w:val="20"/>
              </w:rPr>
            </w:pPr>
            <w:r w:rsidRPr="00713777">
              <w:rPr>
                <w:rFonts w:ascii="Arial" w:hAnsi="Arial" w:cs="Arial"/>
                <w:sz w:val="20"/>
                <w:szCs w:val="20"/>
              </w:rPr>
              <w:t>1.2%</w:t>
            </w:r>
          </w:p>
        </w:tc>
      </w:tr>
      <w:tr w:rsidR="00713777" w:rsidRPr="00713777" w:rsidTr="00713777">
        <w:trPr>
          <w:trHeight w:val="264"/>
        </w:trPr>
        <w:tc>
          <w:tcPr>
            <w:tcW w:w="3342" w:type="dxa"/>
            <w:tcBorders>
              <w:top w:val="nil"/>
              <w:left w:val="single" w:sz="4" w:space="0" w:color="CCCCCC"/>
              <w:bottom w:val="single" w:sz="4" w:space="0" w:color="CCCCCC"/>
              <w:right w:val="single" w:sz="4" w:space="0" w:color="CCCCCC"/>
            </w:tcBorders>
            <w:shd w:val="clear" w:color="auto" w:fill="auto"/>
            <w:vAlign w:val="center"/>
            <w:hideMark/>
          </w:tcPr>
          <w:p w:rsidR="00713777" w:rsidRPr="00713777" w:rsidRDefault="00713777" w:rsidP="00713777">
            <w:pPr>
              <w:rPr>
                <w:rFonts w:ascii="Verdana" w:hAnsi="Verdana" w:cs="Arial"/>
                <w:color w:val="000000"/>
                <w:sz w:val="20"/>
                <w:szCs w:val="20"/>
              </w:rPr>
            </w:pPr>
            <w:r w:rsidRPr="00713777">
              <w:rPr>
                <w:rFonts w:ascii="Verdana" w:hAnsi="Verdana" w:cs="Arial"/>
                <w:color w:val="000000"/>
                <w:sz w:val="20"/>
                <w:szCs w:val="20"/>
              </w:rPr>
              <w:t>59-Glucose Monitors</w:t>
            </w:r>
          </w:p>
        </w:tc>
        <w:tc>
          <w:tcPr>
            <w:tcW w:w="2790" w:type="dxa"/>
            <w:tcBorders>
              <w:top w:val="nil"/>
              <w:left w:val="nil"/>
              <w:bottom w:val="single" w:sz="4" w:space="0" w:color="CCCCCC"/>
              <w:right w:val="single" w:sz="4" w:space="0" w:color="CCCCCC"/>
            </w:tcBorders>
            <w:shd w:val="clear" w:color="auto" w:fill="auto"/>
            <w:vAlign w:val="center"/>
            <w:hideMark/>
          </w:tcPr>
          <w:p w:rsidR="00713777" w:rsidRPr="00713777" w:rsidRDefault="00713777" w:rsidP="00713777">
            <w:pPr>
              <w:jc w:val="center"/>
              <w:rPr>
                <w:rFonts w:ascii="Verdana" w:hAnsi="Verdana" w:cs="Arial"/>
                <w:color w:val="000000"/>
                <w:sz w:val="20"/>
                <w:szCs w:val="20"/>
              </w:rPr>
            </w:pPr>
            <w:r w:rsidRPr="00713777">
              <w:rPr>
                <w:rFonts w:ascii="Verdana" w:hAnsi="Verdana" w:cs="Arial"/>
                <w:color w:val="000000"/>
                <w:sz w:val="20"/>
                <w:szCs w:val="20"/>
              </w:rPr>
              <w:t>999</w:t>
            </w:r>
          </w:p>
        </w:tc>
        <w:tc>
          <w:tcPr>
            <w:tcW w:w="2970" w:type="dxa"/>
            <w:tcBorders>
              <w:top w:val="nil"/>
              <w:left w:val="nil"/>
              <w:bottom w:val="single" w:sz="4" w:space="0" w:color="CCCCCC"/>
              <w:right w:val="single" w:sz="4" w:space="0" w:color="CCCCCC"/>
            </w:tcBorders>
            <w:shd w:val="clear" w:color="auto" w:fill="auto"/>
            <w:noWrap/>
            <w:vAlign w:val="center"/>
            <w:hideMark/>
          </w:tcPr>
          <w:p w:rsidR="00713777" w:rsidRPr="00713777" w:rsidRDefault="00713777" w:rsidP="00713777">
            <w:pPr>
              <w:jc w:val="center"/>
              <w:rPr>
                <w:rFonts w:ascii="Arial" w:hAnsi="Arial" w:cs="Arial"/>
                <w:sz w:val="20"/>
                <w:szCs w:val="20"/>
              </w:rPr>
            </w:pPr>
            <w:r w:rsidRPr="00713777">
              <w:rPr>
                <w:rFonts w:ascii="Arial" w:hAnsi="Arial" w:cs="Arial"/>
                <w:sz w:val="20"/>
                <w:szCs w:val="20"/>
              </w:rPr>
              <w:t>1.0%</w:t>
            </w:r>
          </w:p>
        </w:tc>
      </w:tr>
    </w:tbl>
    <w:p w:rsidR="00FE686A" w:rsidRPr="00846B41" w:rsidRDefault="00FE686A">
      <w:pPr>
        <w:autoSpaceDE w:val="0"/>
        <w:autoSpaceDN w:val="0"/>
        <w:adjustRightInd w:val="0"/>
        <w:rPr>
          <w:color w:val="000000"/>
          <w:sz w:val="22"/>
          <w:szCs w:val="22"/>
        </w:rPr>
      </w:pPr>
    </w:p>
    <w:p w:rsidR="00FE686A" w:rsidRPr="00846B41" w:rsidRDefault="00FE686A">
      <w:pPr>
        <w:autoSpaceDE w:val="0"/>
        <w:autoSpaceDN w:val="0"/>
        <w:adjustRightInd w:val="0"/>
        <w:rPr>
          <w:color w:val="000000"/>
          <w:sz w:val="22"/>
          <w:szCs w:val="22"/>
        </w:rPr>
      </w:pPr>
    </w:p>
    <w:p w:rsidR="00FE686A" w:rsidRPr="00846B41" w:rsidRDefault="00FE686A">
      <w:pPr>
        <w:autoSpaceDE w:val="0"/>
        <w:autoSpaceDN w:val="0"/>
        <w:adjustRightInd w:val="0"/>
        <w:jc w:val="center"/>
        <w:rPr>
          <w:color w:val="000000"/>
          <w:sz w:val="32"/>
          <w:szCs w:val="32"/>
          <w:u w:val="single"/>
        </w:rPr>
      </w:pPr>
      <w:r w:rsidRPr="00846B41">
        <w:rPr>
          <w:color w:val="000000"/>
          <w:sz w:val="32"/>
          <w:szCs w:val="32"/>
          <w:u w:val="single"/>
        </w:rPr>
        <w:t>Reconsideration Dispositions</w:t>
      </w:r>
    </w:p>
    <w:p w:rsidR="00FE686A" w:rsidRDefault="00FE686A">
      <w:pPr>
        <w:autoSpaceDE w:val="0"/>
        <w:autoSpaceDN w:val="0"/>
        <w:adjustRightInd w:val="0"/>
        <w:rPr>
          <w:color w:val="000000"/>
          <w:sz w:val="32"/>
          <w:szCs w:val="32"/>
          <w:u w:val="single"/>
        </w:rPr>
      </w:pPr>
    </w:p>
    <w:p w:rsidR="007E546B" w:rsidRPr="00846B41" w:rsidRDefault="007E546B">
      <w:pPr>
        <w:autoSpaceDE w:val="0"/>
        <w:autoSpaceDN w:val="0"/>
        <w:adjustRightInd w:val="0"/>
        <w:rPr>
          <w:color w:val="000000"/>
          <w:sz w:val="32"/>
          <w:szCs w:val="32"/>
          <w:u w:val="single"/>
        </w:rPr>
        <w:sectPr w:rsidR="007E546B" w:rsidRPr="00846B41">
          <w:type w:val="continuous"/>
          <w:pgSz w:w="12240" w:h="15840"/>
          <w:pgMar w:top="1440" w:right="1800" w:bottom="1440" w:left="1800" w:header="720" w:footer="720" w:gutter="0"/>
          <w:cols w:space="720"/>
          <w:noEndnote/>
        </w:sectPr>
      </w:pPr>
    </w:p>
    <w:p w:rsidR="00FE686A" w:rsidRPr="00846B41" w:rsidRDefault="00FE686A">
      <w:pPr>
        <w:autoSpaceDE w:val="0"/>
        <w:autoSpaceDN w:val="0"/>
        <w:adjustRightInd w:val="0"/>
        <w:jc w:val="center"/>
        <w:rPr>
          <w:color w:val="000000"/>
          <w:sz w:val="28"/>
          <w:szCs w:val="28"/>
          <w:u w:val="single"/>
        </w:rPr>
      </w:pPr>
      <w:r w:rsidRPr="00846B41">
        <w:rPr>
          <w:color w:val="000000"/>
          <w:sz w:val="28"/>
          <w:szCs w:val="28"/>
          <w:u w:val="single"/>
        </w:rPr>
        <w:lastRenderedPageBreak/>
        <w:t>Part A</w:t>
      </w:r>
    </w:p>
    <w:p w:rsidR="00FE686A" w:rsidRPr="00846B41" w:rsidRDefault="00FE686A">
      <w:pPr>
        <w:autoSpaceDE w:val="0"/>
        <w:autoSpaceDN w:val="0"/>
        <w:adjustRightInd w:val="0"/>
        <w:jc w:val="center"/>
        <w:rPr>
          <w:color w:val="000000"/>
          <w:sz w:val="28"/>
          <w:szCs w:val="28"/>
          <w:u w:val="single"/>
        </w:rPr>
        <w:sectPr w:rsidR="00FE686A" w:rsidRPr="00846B41">
          <w:type w:val="continuous"/>
          <w:pgSz w:w="12240" w:h="15840"/>
          <w:pgMar w:top="1440" w:right="1800" w:bottom="1440" w:left="1800" w:header="720" w:footer="720" w:gutter="0"/>
          <w:cols w:num="2" w:space="720"/>
          <w:noEndnote/>
        </w:sectPr>
      </w:pPr>
      <w:r w:rsidRPr="00846B41">
        <w:rPr>
          <w:color w:val="000000"/>
          <w:sz w:val="28"/>
          <w:szCs w:val="28"/>
          <w:u w:val="single"/>
        </w:rPr>
        <w:lastRenderedPageBreak/>
        <w:t>Part B</w:t>
      </w:r>
    </w:p>
    <w:p w:rsidR="00FE686A" w:rsidRPr="00846B41" w:rsidRDefault="00442137" w:rsidP="007E546B">
      <w:pPr>
        <w:autoSpaceDE w:val="0"/>
        <w:autoSpaceDN w:val="0"/>
        <w:adjustRightInd w:val="0"/>
        <w:ind w:left="-90"/>
        <w:rPr>
          <w:color w:val="000000"/>
          <w:sz w:val="32"/>
          <w:szCs w:val="32"/>
          <w:u w:val="single"/>
        </w:rPr>
      </w:pPr>
      <w:r w:rsidRPr="006B116E">
        <w:rPr>
          <w:noProof/>
          <w:color w:val="000000"/>
          <w:sz w:val="32"/>
          <w:szCs w:val="32"/>
        </w:rPr>
        <w:lastRenderedPageBreak/>
        <w:drawing>
          <wp:inline distT="0" distB="0" distL="0" distR="0">
            <wp:extent cx="2945823" cy="1268268"/>
            <wp:effectExtent l="19050" t="0" r="25977" b="8082"/>
            <wp:docPr id="11"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6B116E" w:rsidRPr="007E546B">
        <w:rPr>
          <w:noProof/>
          <w:color w:val="000000"/>
          <w:sz w:val="32"/>
          <w:szCs w:val="32"/>
        </w:rPr>
        <w:drawing>
          <wp:inline distT="0" distB="0" distL="0" distR="0">
            <wp:extent cx="2821131" cy="1336963"/>
            <wp:effectExtent l="19050" t="0" r="0" b="0"/>
            <wp:docPr id="1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E686A" w:rsidRPr="00846B41" w:rsidRDefault="00FE686A">
      <w:pPr>
        <w:autoSpaceDE w:val="0"/>
        <w:autoSpaceDN w:val="0"/>
        <w:adjustRightInd w:val="0"/>
        <w:rPr>
          <w:color w:val="000000"/>
          <w:sz w:val="32"/>
          <w:szCs w:val="32"/>
          <w:u w:val="single"/>
        </w:rPr>
        <w:sectPr w:rsidR="00FE686A" w:rsidRPr="00846B41" w:rsidSect="007E546B">
          <w:type w:val="continuous"/>
          <w:pgSz w:w="12240" w:h="15840"/>
          <w:pgMar w:top="1440" w:right="1440" w:bottom="1440" w:left="1440" w:header="720" w:footer="720" w:gutter="0"/>
          <w:cols w:space="720"/>
          <w:noEndnote/>
        </w:sectPr>
      </w:pPr>
    </w:p>
    <w:p w:rsidR="00FE686A" w:rsidRPr="00846B41" w:rsidRDefault="00DA43EA">
      <w:pPr>
        <w:autoSpaceDE w:val="0"/>
        <w:autoSpaceDN w:val="0"/>
        <w:adjustRightInd w:val="0"/>
        <w:jc w:val="center"/>
        <w:rPr>
          <w:color w:val="000000"/>
          <w:sz w:val="28"/>
          <w:szCs w:val="28"/>
          <w:u w:val="single"/>
        </w:rPr>
        <w:sectPr w:rsidR="00FE686A" w:rsidRPr="00846B41">
          <w:type w:val="continuous"/>
          <w:pgSz w:w="12240" w:h="15840"/>
          <w:pgMar w:top="1440" w:right="1800" w:bottom="1440" w:left="1800" w:header="720" w:footer="720" w:gutter="0"/>
          <w:cols w:num="2" w:space="720"/>
          <w:noEndnote/>
        </w:sectPr>
      </w:pPr>
      <w:r>
        <w:rPr>
          <w:color w:val="000000"/>
          <w:sz w:val="28"/>
          <w:szCs w:val="28"/>
          <w:u w:val="single"/>
        </w:rPr>
        <w:lastRenderedPageBreak/>
        <w:t>DME</w:t>
      </w:r>
    </w:p>
    <w:p w:rsidR="00FE686A" w:rsidRPr="007E546B" w:rsidRDefault="00DA43EA" w:rsidP="00DA43EA">
      <w:pPr>
        <w:autoSpaceDE w:val="0"/>
        <w:autoSpaceDN w:val="0"/>
        <w:adjustRightInd w:val="0"/>
        <w:rPr>
          <w:color w:val="000000"/>
          <w:sz w:val="32"/>
          <w:szCs w:val="32"/>
          <w:u w:val="single"/>
        </w:rPr>
      </w:pPr>
      <w:r w:rsidRPr="00DA43EA">
        <w:rPr>
          <w:noProof/>
          <w:color w:val="000000"/>
          <w:sz w:val="32"/>
          <w:szCs w:val="32"/>
        </w:rPr>
        <w:lastRenderedPageBreak/>
        <w:drawing>
          <wp:inline distT="0" distB="0" distL="0" distR="0">
            <wp:extent cx="2973532" cy="1884219"/>
            <wp:effectExtent l="19050" t="0" r="0" b="0"/>
            <wp:docPr id="19"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E686A" w:rsidRDefault="00FE686A" w:rsidP="007E546B">
      <w:pPr>
        <w:autoSpaceDE w:val="0"/>
        <w:autoSpaceDN w:val="0"/>
        <w:adjustRightInd w:val="0"/>
        <w:rPr>
          <w:sz w:val="16"/>
          <w:szCs w:val="16"/>
        </w:rPr>
      </w:pPr>
    </w:p>
    <w:p w:rsidR="00FE686A" w:rsidRDefault="00FE686A" w:rsidP="007E546B">
      <w:pPr>
        <w:autoSpaceDE w:val="0"/>
        <w:autoSpaceDN w:val="0"/>
        <w:adjustRightInd w:val="0"/>
        <w:rPr>
          <w:sz w:val="16"/>
          <w:szCs w:val="16"/>
        </w:rPr>
      </w:pPr>
    </w:p>
    <w:p w:rsidR="00FE686A" w:rsidRPr="007E546B" w:rsidRDefault="00FE686A" w:rsidP="007E546B">
      <w:pPr>
        <w:autoSpaceDE w:val="0"/>
        <w:autoSpaceDN w:val="0"/>
        <w:adjustRightInd w:val="0"/>
        <w:rPr>
          <w:sz w:val="20"/>
          <w:szCs w:val="20"/>
        </w:rPr>
      </w:pPr>
    </w:p>
    <w:p w:rsidR="00FE686A" w:rsidRPr="007E546B" w:rsidRDefault="00FE686A" w:rsidP="007E546B">
      <w:pPr>
        <w:autoSpaceDE w:val="0"/>
        <w:autoSpaceDN w:val="0"/>
        <w:adjustRightInd w:val="0"/>
        <w:rPr>
          <w:sz w:val="20"/>
          <w:szCs w:val="20"/>
        </w:rPr>
      </w:pPr>
      <w:r w:rsidRPr="007E546B">
        <w:rPr>
          <w:sz w:val="20"/>
          <w:szCs w:val="20"/>
        </w:rPr>
        <w:t xml:space="preserve">Note: A “favorable” decision means that the appeal was successful and the claim in dispute was paid.  An “unfavorable” decision means that an appellants’ appeal was denied.  </w:t>
      </w:r>
      <w:r w:rsidR="007E546B" w:rsidRPr="007E546B">
        <w:rPr>
          <w:sz w:val="20"/>
          <w:szCs w:val="20"/>
        </w:rPr>
        <w:t>C</w:t>
      </w:r>
      <w:r w:rsidRPr="007E546B">
        <w:rPr>
          <w:sz w:val="20"/>
          <w:szCs w:val="20"/>
        </w:rPr>
        <w:t>ases that were dismissed</w:t>
      </w:r>
      <w:r w:rsidR="007E546B" w:rsidRPr="007E546B">
        <w:rPr>
          <w:sz w:val="20"/>
          <w:szCs w:val="20"/>
        </w:rPr>
        <w:t xml:space="preserve"> or misrouted were excluded from the calculations above</w:t>
      </w:r>
      <w:r w:rsidRPr="007E546B">
        <w:rPr>
          <w:sz w:val="20"/>
          <w:szCs w:val="20"/>
        </w:rPr>
        <w:t>.</w:t>
      </w:r>
    </w:p>
    <w:p w:rsidR="00FE686A" w:rsidRPr="00846B41" w:rsidRDefault="00FE686A">
      <w:pPr>
        <w:autoSpaceDE w:val="0"/>
        <w:autoSpaceDN w:val="0"/>
        <w:adjustRightInd w:val="0"/>
        <w:jc w:val="center"/>
        <w:rPr>
          <w:color w:val="000000"/>
          <w:sz w:val="32"/>
          <w:szCs w:val="32"/>
          <w:u w:val="single"/>
        </w:rPr>
      </w:pPr>
      <w:r>
        <w:rPr>
          <w:color w:val="000000"/>
          <w:sz w:val="32"/>
          <w:szCs w:val="32"/>
          <w:u w:val="single"/>
        </w:rPr>
        <w:br w:type="page"/>
      </w:r>
      <w:r w:rsidR="002E2DAB">
        <w:rPr>
          <w:color w:val="000000"/>
          <w:sz w:val="32"/>
          <w:szCs w:val="32"/>
          <w:u w:val="single"/>
        </w:rPr>
        <w:lastRenderedPageBreak/>
        <w:t xml:space="preserve">2009 </w:t>
      </w:r>
      <w:r w:rsidRPr="00846B41">
        <w:rPr>
          <w:color w:val="000000"/>
          <w:sz w:val="32"/>
          <w:szCs w:val="32"/>
          <w:u w:val="single"/>
        </w:rPr>
        <w:t>Reconsideration Timeliness</w:t>
      </w:r>
    </w:p>
    <w:p w:rsidR="00FE686A" w:rsidRPr="00846B41" w:rsidRDefault="00FE686A">
      <w:pPr>
        <w:autoSpaceDE w:val="0"/>
        <w:autoSpaceDN w:val="0"/>
        <w:adjustRightInd w:val="0"/>
        <w:rPr>
          <w:color w:val="000000"/>
          <w:sz w:val="22"/>
          <w:szCs w:val="22"/>
        </w:rPr>
      </w:pPr>
    </w:p>
    <w:p w:rsidR="00FE686A" w:rsidRPr="00846B41" w:rsidRDefault="00D455E7">
      <w:pPr>
        <w:autoSpaceDE w:val="0"/>
        <w:autoSpaceDN w:val="0"/>
        <w:adjustRightInd w:val="0"/>
        <w:jc w:val="center"/>
        <w:rPr>
          <w:color w:val="000000"/>
          <w:sz w:val="22"/>
          <w:szCs w:val="22"/>
        </w:rPr>
      </w:pPr>
      <w:r w:rsidRPr="007D2657">
        <w:rPr>
          <w:noProof/>
          <w:color w:val="000000"/>
          <w:sz w:val="22"/>
          <w:szCs w:val="22"/>
          <w:u w:val="single"/>
        </w:rPr>
        <w:drawing>
          <wp:inline distT="0" distB="0" distL="0" distR="0">
            <wp:extent cx="5715000" cy="4142764"/>
            <wp:effectExtent l="19050" t="0" r="19050" b="0"/>
            <wp:docPr id="1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E686A" w:rsidRPr="00846B41" w:rsidRDefault="00FE686A">
      <w:pPr>
        <w:autoSpaceDE w:val="0"/>
        <w:autoSpaceDN w:val="0"/>
        <w:adjustRightInd w:val="0"/>
        <w:rPr>
          <w:color w:val="000000"/>
          <w:sz w:val="22"/>
          <w:szCs w:val="22"/>
        </w:rPr>
      </w:pPr>
    </w:p>
    <w:p w:rsidR="00FE686A" w:rsidRPr="00846B41" w:rsidRDefault="00FE686A">
      <w:pPr>
        <w:autoSpaceDE w:val="0"/>
        <w:autoSpaceDN w:val="0"/>
        <w:adjustRightInd w:val="0"/>
        <w:rPr>
          <w:color w:val="000000"/>
          <w:sz w:val="22"/>
          <w:szCs w:val="22"/>
        </w:rPr>
      </w:pPr>
    </w:p>
    <w:p w:rsidR="00FE686A" w:rsidRPr="007D2657" w:rsidRDefault="00FE686A">
      <w:pPr>
        <w:autoSpaceDE w:val="0"/>
        <w:autoSpaceDN w:val="0"/>
        <w:adjustRightInd w:val="0"/>
        <w:jc w:val="center"/>
        <w:rPr>
          <w:color w:val="000000"/>
          <w:sz w:val="20"/>
          <w:szCs w:val="20"/>
        </w:rPr>
      </w:pPr>
      <w:r w:rsidRPr="007D2657">
        <w:rPr>
          <w:color w:val="000000"/>
          <w:sz w:val="20"/>
          <w:szCs w:val="20"/>
        </w:rPr>
        <w:t xml:space="preserve">Note:  </w:t>
      </w:r>
      <w:r w:rsidR="002E2DAB" w:rsidRPr="007D2657">
        <w:rPr>
          <w:color w:val="000000"/>
          <w:sz w:val="20"/>
          <w:szCs w:val="20"/>
        </w:rPr>
        <w:t xml:space="preserve">Generally, </w:t>
      </w:r>
      <w:proofErr w:type="gramStart"/>
      <w:r w:rsidR="002E2DAB" w:rsidRPr="007D2657">
        <w:rPr>
          <w:color w:val="000000"/>
          <w:sz w:val="20"/>
          <w:szCs w:val="20"/>
        </w:rPr>
        <w:t>a reconsideration</w:t>
      </w:r>
      <w:proofErr w:type="gramEnd"/>
      <w:r w:rsidR="002E2DAB" w:rsidRPr="007D2657">
        <w:rPr>
          <w:color w:val="000000"/>
          <w:sz w:val="20"/>
          <w:szCs w:val="20"/>
        </w:rPr>
        <w:t xml:space="preserve"> must be processed</w:t>
      </w:r>
      <w:r w:rsidRPr="007D2657">
        <w:rPr>
          <w:color w:val="000000"/>
          <w:sz w:val="20"/>
          <w:szCs w:val="20"/>
        </w:rPr>
        <w:t xml:space="preserve"> within 60 days </w:t>
      </w:r>
      <w:r w:rsidR="002E2DAB" w:rsidRPr="007D2657">
        <w:rPr>
          <w:color w:val="000000"/>
          <w:sz w:val="20"/>
          <w:szCs w:val="20"/>
        </w:rPr>
        <w:t>to be considered timely</w:t>
      </w:r>
      <w:r w:rsidRPr="007D2657">
        <w:rPr>
          <w:color w:val="000000"/>
          <w:sz w:val="20"/>
          <w:szCs w:val="20"/>
        </w:rPr>
        <w:t>.</w:t>
      </w:r>
    </w:p>
    <w:p w:rsidR="00FE686A" w:rsidRPr="00846B41" w:rsidRDefault="00FE686A">
      <w:pPr>
        <w:autoSpaceDE w:val="0"/>
        <w:autoSpaceDN w:val="0"/>
        <w:adjustRightInd w:val="0"/>
        <w:rPr>
          <w:color w:val="000000"/>
          <w:sz w:val="22"/>
          <w:szCs w:val="22"/>
        </w:rPr>
      </w:pPr>
    </w:p>
    <w:p w:rsidR="00FE686A" w:rsidRPr="00846B41" w:rsidRDefault="00FE686A">
      <w:pPr>
        <w:autoSpaceDE w:val="0"/>
        <w:autoSpaceDN w:val="0"/>
        <w:adjustRightInd w:val="0"/>
        <w:rPr>
          <w:color w:val="000000"/>
          <w:sz w:val="22"/>
          <w:szCs w:val="22"/>
        </w:rPr>
      </w:pPr>
    </w:p>
    <w:p w:rsidR="00FE686A" w:rsidRPr="00846B41" w:rsidRDefault="00FE686A">
      <w:pPr>
        <w:autoSpaceDE w:val="0"/>
        <w:autoSpaceDN w:val="0"/>
        <w:adjustRightInd w:val="0"/>
        <w:rPr>
          <w:color w:val="000000"/>
          <w:sz w:val="22"/>
          <w:szCs w:val="22"/>
        </w:rPr>
      </w:pPr>
    </w:p>
    <w:p w:rsidR="00FE686A" w:rsidRPr="00846B41" w:rsidRDefault="00FE686A">
      <w:pPr>
        <w:autoSpaceDE w:val="0"/>
        <w:autoSpaceDN w:val="0"/>
        <w:adjustRightInd w:val="0"/>
        <w:rPr>
          <w:color w:val="000000"/>
          <w:sz w:val="22"/>
          <w:szCs w:val="22"/>
        </w:rPr>
      </w:pPr>
    </w:p>
    <w:p w:rsidR="00FE686A" w:rsidRPr="00846B41" w:rsidRDefault="00FE686A">
      <w:pPr>
        <w:autoSpaceDE w:val="0"/>
        <w:autoSpaceDN w:val="0"/>
        <w:adjustRightInd w:val="0"/>
        <w:rPr>
          <w:color w:val="000000"/>
          <w:sz w:val="22"/>
          <w:szCs w:val="22"/>
        </w:rPr>
      </w:pPr>
    </w:p>
    <w:p w:rsidR="00FE686A" w:rsidRPr="00846B41" w:rsidRDefault="00FE686A">
      <w:pPr>
        <w:autoSpaceDE w:val="0"/>
        <w:autoSpaceDN w:val="0"/>
        <w:adjustRightInd w:val="0"/>
        <w:rPr>
          <w:color w:val="000000"/>
          <w:sz w:val="22"/>
          <w:szCs w:val="22"/>
        </w:rPr>
      </w:pPr>
    </w:p>
    <w:p w:rsidR="00FE686A" w:rsidRPr="00846B41" w:rsidRDefault="00FE686A">
      <w:pPr>
        <w:autoSpaceDE w:val="0"/>
        <w:autoSpaceDN w:val="0"/>
        <w:adjustRightInd w:val="0"/>
        <w:rPr>
          <w:color w:val="000000"/>
          <w:sz w:val="22"/>
          <w:szCs w:val="22"/>
        </w:rPr>
      </w:pPr>
    </w:p>
    <w:p w:rsidR="00FE686A" w:rsidRPr="00846B41" w:rsidRDefault="00FE686A">
      <w:pPr>
        <w:autoSpaceDE w:val="0"/>
        <w:autoSpaceDN w:val="0"/>
        <w:adjustRightInd w:val="0"/>
        <w:rPr>
          <w:color w:val="000000"/>
          <w:sz w:val="22"/>
          <w:szCs w:val="22"/>
        </w:rPr>
      </w:pPr>
    </w:p>
    <w:p w:rsidR="00FE686A" w:rsidRPr="00846B41" w:rsidRDefault="00FE686A">
      <w:pPr>
        <w:autoSpaceDE w:val="0"/>
        <w:autoSpaceDN w:val="0"/>
        <w:adjustRightInd w:val="0"/>
        <w:rPr>
          <w:color w:val="000000"/>
          <w:sz w:val="22"/>
          <w:szCs w:val="22"/>
        </w:rPr>
      </w:pPr>
    </w:p>
    <w:p w:rsidR="00FE686A" w:rsidRPr="00846B41" w:rsidRDefault="00FE686A">
      <w:pPr>
        <w:autoSpaceDE w:val="0"/>
        <w:autoSpaceDN w:val="0"/>
        <w:adjustRightInd w:val="0"/>
        <w:rPr>
          <w:color w:val="000000"/>
          <w:sz w:val="22"/>
          <w:szCs w:val="22"/>
        </w:rPr>
      </w:pPr>
    </w:p>
    <w:p w:rsidR="00FE686A" w:rsidRPr="00846B41" w:rsidRDefault="00FE686A">
      <w:pPr>
        <w:autoSpaceDE w:val="0"/>
        <w:autoSpaceDN w:val="0"/>
        <w:adjustRightInd w:val="0"/>
        <w:rPr>
          <w:color w:val="000000"/>
          <w:sz w:val="22"/>
          <w:szCs w:val="22"/>
        </w:rPr>
      </w:pPr>
    </w:p>
    <w:p w:rsidR="00FE686A" w:rsidRPr="00846B41" w:rsidRDefault="00FE686A">
      <w:pPr>
        <w:autoSpaceDE w:val="0"/>
        <w:autoSpaceDN w:val="0"/>
        <w:adjustRightInd w:val="0"/>
        <w:jc w:val="center"/>
        <w:rPr>
          <w:color w:val="000000"/>
        </w:rPr>
        <w:sectPr w:rsidR="00FE686A" w:rsidRPr="00846B41" w:rsidSect="007E546B">
          <w:type w:val="continuous"/>
          <w:pgSz w:w="12240" w:h="15840"/>
          <w:pgMar w:top="1440" w:right="1800" w:bottom="1440" w:left="1440" w:header="720" w:footer="720" w:gutter="0"/>
          <w:cols w:space="720"/>
          <w:noEndnote/>
        </w:sectPr>
      </w:pPr>
      <w:r w:rsidRPr="00846B41">
        <w:rPr>
          <w:color w:val="000000"/>
          <w:sz w:val="18"/>
          <w:szCs w:val="18"/>
        </w:rPr>
        <w:t xml:space="preserve"> </w:t>
      </w:r>
    </w:p>
    <w:p w:rsidR="00FE686A" w:rsidRPr="00846B41" w:rsidRDefault="00FE686A">
      <w:pPr>
        <w:autoSpaceDE w:val="0"/>
        <w:autoSpaceDN w:val="0"/>
        <w:adjustRightInd w:val="0"/>
      </w:pPr>
    </w:p>
    <w:p w:rsidR="00FE686A" w:rsidRDefault="00FE686A"/>
    <w:sectPr w:rsidR="00FE686A" w:rsidSect="008A05A9">
      <w:type w:val="continuous"/>
      <w:pgSz w:w="12240" w:h="15840"/>
      <w:pgMar w:top="1440" w:right="1800" w:bottom="1440" w:left="1800" w:header="720" w:footer="72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C28D1"/>
    <w:multiLevelType w:val="hybridMultilevel"/>
    <w:tmpl w:val="3B00C5F6"/>
    <w:lvl w:ilvl="0" w:tplc="0409000B">
      <w:start w:val="1"/>
      <w:numFmt w:val="bullet"/>
      <w:lvlText w:val=""/>
      <w:lvlJc w:val="left"/>
      <w:pPr>
        <w:tabs>
          <w:tab w:val="num" w:pos="1080"/>
        </w:tabs>
        <w:ind w:left="1080" w:hanging="360"/>
      </w:pPr>
      <w:rPr>
        <w:rFonts w:ascii="Wingdings" w:hAnsi="Wingding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3476993"/>
    <w:multiLevelType w:val="hybridMultilevel"/>
    <w:tmpl w:val="412801C2"/>
    <w:lvl w:ilvl="0" w:tplc="B5AE7CF4">
      <w:start w:val="1"/>
      <w:numFmt w:val="bullet"/>
      <w:lvlText w:val=""/>
      <w:lvlJc w:val="left"/>
      <w:pPr>
        <w:tabs>
          <w:tab w:val="num" w:pos="1080"/>
        </w:tabs>
        <w:ind w:left="1080" w:hanging="360"/>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4D625F9"/>
    <w:multiLevelType w:val="multilevel"/>
    <w:tmpl w:val="B04861E2"/>
    <w:lvl w:ilvl="0">
      <w:start w:val="1"/>
      <w:numFmt w:val="bullet"/>
      <w:lvlText w:val=""/>
      <w:lvlJc w:val="left"/>
      <w:pPr>
        <w:tabs>
          <w:tab w:val="num" w:pos="840"/>
        </w:tabs>
        <w:ind w:left="840" w:hanging="360"/>
      </w:pPr>
      <w:rPr>
        <w:rFonts w:ascii="Symbol" w:hAnsi="Symbol" w:hint="default"/>
      </w:rPr>
    </w:lvl>
    <w:lvl w:ilvl="1">
      <w:start w:val="1"/>
      <w:numFmt w:val="bullet"/>
      <w:lvlText w:val="o"/>
      <w:lvlJc w:val="left"/>
      <w:pPr>
        <w:tabs>
          <w:tab w:val="num" w:pos="1560"/>
        </w:tabs>
        <w:ind w:left="1560" w:hanging="360"/>
      </w:pPr>
      <w:rPr>
        <w:rFonts w:ascii="Courier New" w:hAnsi="Courier New" w:cs="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3000"/>
        </w:tabs>
        <w:ind w:left="3000" w:hanging="360"/>
      </w:pPr>
      <w:rPr>
        <w:rFonts w:ascii="Symbol" w:hAnsi="Symbol" w:hint="default"/>
      </w:rPr>
    </w:lvl>
    <w:lvl w:ilvl="4">
      <w:start w:val="1"/>
      <w:numFmt w:val="bullet"/>
      <w:lvlText w:val="o"/>
      <w:lvlJc w:val="left"/>
      <w:pPr>
        <w:tabs>
          <w:tab w:val="num" w:pos="3720"/>
        </w:tabs>
        <w:ind w:left="3720" w:hanging="360"/>
      </w:pPr>
      <w:rPr>
        <w:rFonts w:ascii="Courier New" w:hAnsi="Courier New" w:cs="Courier New"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cs="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3">
    <w:nsid w:val="05C6350A"/>
    <w:multiLevelType w:val="multilevel"/>
    <w:tmpl w:val="7E725F54"/>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
    <w:nsid w:val="077E1EC9"/>
    <w:multiLevelType w:val="multilevel"/>
    <w:tmpl w:val="7E725F54"/>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
    <w:nsid w:val="0D1E6493"/>
    <w:multiLevelType w:val="hybridMultilevel"/>
    <w:tmpl w:val="35EC1E3E"/>
    <w:lvl w:ilvl="0" w:tplc="A5A080A0">
      <w:start w:val="1"/>
      <w:numFmt w:val="bullet"/>
      <w:lvlText w:val=""/>
      <w:lvlJc w:val="left"/>
      <w:pPr>
        <w:tabs>
          <w:tab w:val="num" w:pos="1080"/>
        </w:tabs>
        <w:ind w:left="1080" w:hanging="360"/>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1274589"/>
    <w:multiLevelType w:val="multilevel"/>
    <w:tmpl w:val="31F852D8"/>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7">
    <w:nsid w:val="121E4B23"/>
    <w:multiLevelType w:val="multilevel"/>
    <w:tmpl w:val="69181BA8"/>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nsid w:val="13E4539E"/>
    <w:multiLevelType w:val="multilevel"/>
    <w:tmpl w:val="918AD498"/>
    <w:lvl w:ilvl="0">
      <w:start w:val="1"/>
      <w:numFmt w:val="bullet"/>
      <w:lvlText w:val=""/>
      <w:lvlJc w:val="left"/>
      <w:pPr>
        <w:tabs>
          <w:tab w:val="num" w:pos="1080"/>
        </w:tabs>
        <w:ind w:left="1080" w:hanging="360"/>
      </w:pPr>
      <w:rPr>
        <w:rFonts w:ascii="Symbol" w:hAnsi="Symbol" w:hint="default"/>
        <w:sz w:val="20"/>
        <w:szCs w:val="2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1A1D10A7"/>
    <w:multiLevelType w:val="hybridMultilevel"/>
    <w:tmpl w:val="11CE5C82"/>
    <w:lvl w:ilvl="0" w:tplc="0409000B">
      <w:start w:val="1"/>
      <w:numFmt w:val="bullet"/>
      <w:lvlText w:val=""/>
      <w:lvlJc w:val="left"/>
      <w:pPr>
        <w:tabs>
          <w:tab w:val="num" w:pos="1080"/>
        </w:tabs>
        <w:ind w:left="1080" w:hanging="360"/>
      </w:pPr>
      <w:rPr>
        <w:rFonts w:ascii="Wingdings" w:hAnsi="Wingding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1CCA1B91"/>
    <w:multiLevelType w:val="hybridMultilevel"/>
    <w:tmpl w:val="75FA6F8A"/>
    <w:lvl w:ilvl="0" w:tplc="0409000B">
      <w:start w:val="1"/>
      <w:numFmt w:val="bullet"/>
      <w:lvlText w:val=""/>
      <w:lvlJc w:val="left"/>
      <w:pPr>
        <w:tabs>
          <w:tab w:val="num" w:pos="1080"/>
        </w:tabs>
        <w:ind w:left="1080" w:hanging="360"/>
      </w:pPr>
      <w:rPr>
        <w:rFonts w:ascii="Wingdings" w:hAnsi="Wingding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1F4F3FB3"/>
    <w:multiLevelType w:val="multilevel"/>
    <w:tmpl w:val="0ADCE78E"/>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2">
    <w:nsid w:val="278439B9"/>
    <w:multiLevelType w:val="multilevel"/>
    <w:tmpl w:val="96B88572"/>
    <w:lvl w:ilvl="0">
      <w:start w:val="1"/>
      <w:numFmt w:val="bullet"/>
      <w:lvlText w:val=""/>
      <w:lvlJc w:val="left"/>
      <w:pPr>
        <w:tabs>
          <w:tab w:val="num" w:pos="1080"/>
        </w:tabs>
        <w:ind w:left="1080" w:hanging="360"/>
      </w:pPr>
      <w:rPr>
        <w:rFonts w:ascii="Symbol" w:hAnsi="Symbol" w:hint="default"/>
        <w:sz w:val="20"/>
        <w:szCs w:val="2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3">
    <w:nsid w:val="28D12072"/>
    <w:multiLevelType w:val="multilevel"/>
    <w:tmpl w:val="0ADCE78E"/>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4">
    <w:nsid w:val="2FBD1BA2"/>
    <w:multiLevelType w:val="multilevel"/>
    <w:tmpl w:val="B04861E2"/>
    <w:lvl w:ilvl="0">
      <w:start w:val="1"/>
      <w:numFmt w:val="bullet"/>
      <w:lvlText w:val=""/>
      <w:lvlJc w:val="left"/>
      <w:pPr>
        <w:tabs>
          <w:tab w:val="num" w:pos="840"/>
        </w:tabs>
        <w:ind w:left="840" w:hanging="360"/>
      </w:pPr>
      <w:rPr>
        <w:rFonts w:ascii="Symbol" w:hAnsi="Symbol" w:hint="default"/>
      </w:rPr>
    </w:lvl>
    <w:lvl w:ilvl="1">
      <w:start w:val="1"/>
      <w:numFmt w:val="bullet"/>
      <w:lvlText w:val="o"/>
      <w:lvlJc w:val="left"/>
      <w:pPr>
        <w:tabs>
          <w:tab w:val="num" w:pos="1560"/>
        </w:tabs>
        <w:ind w:left="1560" w:hanging="360"/>
      </w:pPr>
      <w:rPr>
        <w:rFonts w:ascii="Courier New" w:hAnsi="Courier New" w:cs="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3000"/>
        </w:tabs>
        <w:ind w:left="3000" w:hanging="360"/>
      </w:pPr>
      <w:rPr>
        <w:rFonts w:ascii="Symbol" w:hAnsi="Symbol" w:hint="default"/>
      </w:rPr>
    </w:lvl>
    <w:lvl w:ilvl="4">
      <w:start w:val="1"/>
      <w:numFmt w:val="bullet"/>
      <w:lvlText w:val="o"/>
      <w:lvlJc w:val="left"/>
      <w:pPr>
        <w:tabs>
          <w:tab w:val="num" w:pos="3720"/>
        </w:tabs>
        <w:ind w:left="3720" w:hanging="360"/>
      </w:pPr>
      <w:rPr>
        <w:rFonts w:ascii="Courier New" w:hAnsi="Courier New" w:cs="Courier New"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cs="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15">
    <w:nsid w:val="32896149"/>
    <w:multiLevelType w:val="multilevel"/>
    <w:tmpl w:val="097657AA"/>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6">
    <w:nsid w:val="33017140"/>
    <w:multiLevelType w:val="multilevel"/>
    <w:tmpl w:val="69181BA8"/>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nsid w:val="34042BF6"/>
    <w:multiLevelType w:val="hybridMultilevel"/>
    <w:tmpl w:val="7E725F54"/>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34D343A1"/>
    <w:multiLevelType w:val="hybridMultilevel"/>
    <w:tmpl w:val="69181BA8"/>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5CA5305"/>
    <w:multiLevelType w:val="hybridMultilevel"/>
    <w:tmpl w:val="5FA490A2"/>
    <w:lvl w:ilvl="0" w:tplc="0409000B">
      <w:start w:val="1"/>
      <w:numFmt w:val="bullet"/>
      <w:lvlText w:val=""/>
      <w:lvlJc w:val="left"/>
      <w:pPr>
        <w:tabs>
          <w:tab w:val="num" w:pos="1080"/>
        </w:tabs>
        <w:ind w:left="1080" w:hanging="360"/>
      </w:pPr>
      <w:rPr>
        <w:rFonts w:ascii="Wingdings" w:hAnsi="Wingding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372F494D"/>
    <w:multiLevelType w:val="hybridMultilevel"/>
    <w:tmpl w:val="918AD498"/>
    <w:lvl w:ilvl="0" w:tplc="5DB69226">
      <w:start w:val="1"/>
      <w:numFmt w:val="bullet"/>
      <w:lvlText w:val=""/>
      <w:lvlJc w:val="left"/>
      <w:pPr>
        <w:tabs>
          <w:tab w:val="num" w:pos="1080"/>
        </w:tabs>
        <w:ind w:left="1080" w:hanging="360"/>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39C62024"/>
    <w:multiLevelType w:val="hybridMultilevel"/>
    <w:tmpl w:val="A080F498"/>
    <w:lvl w:ilvl="0" w:tplc="FD321280">
      <w:start w:val="1"/>
      <w:numFmt w:val="bullet"/>
      <w:lvlText w:val=""/>
      <w:lvlJc w:val="left"/>
      <w:pPr>
        <w:tabs>
          <w:tab w:val="num" w:pos="1080"/>
        </w:tabs>
        <w:ind w:left="1080" w:hanging="360"/>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3C3B6138"/>
    <w:multiLevelType w:val="hybridMultilevel"/>
    <w:tmpl w:val="96B88572"/>
    <w:lvl w:ilvl="0" w:tplc="D9F88CDE">
      <w:start w:val="1"/>
      <w:numFmt w:val="bullet"/>
      <w:lvlText w:val=""/>
      <w:lvlJc w:val="left"/>
      <w:pPr>
        <w:tabs>
          <w:tab w:val="num" w:pos="1080"/>
        </w:tabs>
        <w:ind w:left="1080" w:hanging="360"/>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43862E50"/>
    <w:multiLevelType w:val="multilevel"/>
    <w:tmpl w:val="A080F498"/>
    <w:lvl w:ilvl="0">
      <w:start w:val="1"/>
      <w:numFmt w:val="bullet"/>
      <w:lvlText w:val=""/>
      <w:lvlJc w:val="left"/>
      <w:pPr>
        <w:tabs>
          <w:tab w:val="num" w:pos="1080"/>
        </w:tabs>
        <w:ind w:left="1080" w:hanging="360"/>
      </w:pPr>
      <w:rPr>
        <w:rFonts w:ascii="Symbol" w:hAnsi="Symbol" w:hint="default"/>
        <w:sz w:val="20"/>
        <w:szCs w:val="2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4">
    <w:nsid w:val="4953328A"/>
    <w:multiLevelType w:val="hybridMultilevel"/>
    <w:tmpl w:val="1C24DC9A"/>
    <w:lvl w:ilvl="0" w:tplc="D95EACAA">
      <w:start w:val="1"/>
      <w:numFmt w:val="bullet"/>
      <w:lvlText w:val=""/>
      <w:lvlJc w:val="left"/>
      <w:pPr>
        <w:tabs>
          <w:tab w:val="num" w:pos="1080"/>
        </w:tabs>
        <w:ind w:left="1080" w:hanging="360"/>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5416130B"/>
    <w:multiLevelType w:val="multilevel"/>
    <w:tmpl w:val="B04861E2"/>
    <w:lvl w:ilvl="0">
      <w:start w:val="1"/>
      <w:numFmt w:val="bullet"/>
      <w:lvlText w:val=""/>
      <w:lvlJc w:val="left"/>
      <w:pPr>
        <w:tabs>
          <w:tab w:val="num" w:pos="840"/>
        </w:tabs>
        <w:ind w:left="840" w:hanging="360"/>
      </w:pPr>
      <w:rPr>
        <w:rFonts w:ascii="Symbol" w:hAnsi="Symbol" w:hint="default"/>
      </w:rPr>
    </w:lvl>
    <w:lvl w:ilvl="1">
      <w:start w:val="1"/>
      <w:numFmt w:val="bullet"/>
      <w:lvlText w:val="o"/>
      <w:lvlJc w:val="left"/>
      <w:pPr>
        <w:tabs>
          <w:tab w:val="num" w:pos="1560"/>
        </w:tabs>
        <w:ind w:left="1560" w:hanging="360"/>
      </w:pPr>
      <w:rPr>
        <w:rFonts w:ascii="Courier New" w:hAnsi="Courier New" w:cs="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3000"/>
        </w:tabs>
        <w:ind w:left="3000" w:hanging="360"/>
      </w:pPr>
      <w:rPr>
        <w:rFonts w:ascii="Symbol" w:hAnsi="Symbol" w:hint="default"/>
      </w:rPr>
    </w:lvl>
    <w:lvl w:ilvl="4">
      <w:start w:val="1"/>
      <w:numFmt w:val="bullet"/>
      <w:lvlText w:val="o"/>
      <w:lvlJc w:val="left"/>
      <w:pPr>
        <w:tabs>
          <w:tab w:val="num" w:pos="3720"/>
        </w:tabs>
        <w:ind w:left="3720" w:hanging="360"/>
      </w:pPr>
      <w:rPr>
        <w:rFonts w:ascii="Courier New" w:hAnsi="Courier New" w:cs="Courier New"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cs="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26">
    <w:nsid w:val="553776C7"/>
    <w:multiLevelType w:val="hybridMultilevel"/>
    <w:tmpl w:val="E3EC6E5A"/>
    <w:lvl w:ilvl="0" w:tplc="0409000B">
      <w:start w:val="1"/>
      <w:numFmt w:val="bullet"/>
      <w:lvlText w:val=""/>
      <w:lvlJc w:val="left"/>
      <w:pPr>
        <w:tabs>
          <w:tab w:val="num" w:pos="1080"/>
        </w:tabs>
        <w:ind w:left="1080" w:hanging="360"/>
      </w:pPr>
      <w:rPr>
        <w:rFonts w:ascii="Wingdings" w:hAnsi="Wingding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571767FE"/>
    <w:multiLevelType w:val="multilevel"/>
    <w:tmpl w:val="097657AA"/>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8">
    <w:nsid w:val="574707EF"/>
    <w:multiLevelType w:val="hybridMultilevel"/>
    <w:tmpl w:val="097657AA"/>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58335D31"/>
    <w:multiLevelType w:val="hybridMultilevel"/>
    <w:tmpl w:val="B04861E2"/>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30">
    <w:nsid w:val="5AE0069B"/>
    <w:multiLevelType w:val="hybridMultilevel"/>
    <w:tmpl w:val="0ADCE78E"/>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5E5B1DAC"/>
    <w:multiLevelType w:val="multilevel"/>
    <w:tmpl w:val="1C24DC9A"/>
    <w:lvl w:ilvl="0">
      <w:start w:val="1"/>
      <w:numFmt w:val="bullet"/>
      <w:lvlText w:val=""/>
      <w:lvlJc w:val="left"/>
      <w:pPr>
        <w:tabs>
          <w:tab w:val="num" w:pos="1080"/>
        </w:tabs>
        <w:ind w:left="1080" w:hanging="360"/>
      </w:pPr>
      <w:rPr>
        <w:rFonts w:ascii="Symbol" w:hAnsi="Symbol" w:hint="default"/>
        <w:sz w:val="20"/>
        <w:szCs w:val="2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2">
    <w:nsid w:val="606B29D9"/>
    <w:multiLevelType w:val="hybridMultilevel"/>
    <w:tmpl w:val="4442065A"/>
    <w:lvl w:ilvl="0" w:tplc="0409000B">
      <w:start w:val="1"/>
      <w:numFmt w:val="bullet"/>
      <w:lvlText w:val=""/>
      <w:lvlJc w:val="left"/>
      <w:pPr>
        <w:tabs>
          <w:tab w:val="num" w:pos="1080"/>
        </w:tabs>
        <w:ind w:left="1080" w:hanging="360"/>
      </w:pPr>
      <w:rPr>
        <w:rFonts w:ascii="Wingdings" w:hAnsi="Wingding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640B4156"/>
    <w:multiLevelType w:val="hybridMultilevel"/>
    <w:tmpl w:val="169222D2"/>
    <w:lvl w:ilvl="0" w:tplc="243EC5FC">
      <w:start w:val="1"/>
      <w:numFmt w:val="bullet"/>
      <w:lvlText w:val=""/>
      <w:lvlJc w:val="left"/>
      <w:pPr>
        <w:tabs>
          <w:tab w:val="num" w:pos="1080"/>
        </w:tabs>
        <w:ind w:left="1080" w:hanging="360"/>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648F06E7"/>
    <w:multiLevelType w:val="hybridMultilevel"/>
    <w:tmpl w:val="0A0CB852"/>
    <w:lvl w:ilvl="0" w:tplc="0409000B">
      <w:start w:val="1"/>
      <w:numFmt w:val="bullet"/>
      <w:lvlText w:val=""/>
      <w:lvlJc w:val="left"/>
      <w:pPr>
        <w:tabs>
          <w:tab w:val="num" w:pos="1080"/>
        </w:tabs>
        <w:ind w:left="1080" w:hanging="360"/>
      </w:pPr>
      <w:rPr>
        <w:rFonts w:ascii="Wingdings" w:hAnsi="Wingding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68D340A5"/>
    <w:multiLevelType w:val="hybridMultilevel"/>
    <w:tmpl w:val="5CB63446"/>
    <w:lvl w:ilvl="0" w:tplc="D95EACAA">
      <w:start w:val="1"/>
      <w:numFmt w:val="bullet"/>
      <w:lvlText w:val=""/>
      <w:lvlJc w:val="left"/>
      <w:pPr>
        <w:tabs>
          <w:tab w:val="num" w:pos="1080"/>
        </w:tabs>
        <w:ind w:left="1080" w:hanging="360"/>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6A1E3FE4"/>
    <w:multiLevelType w:val="multilevel"/>
    <w:tmpl w:val="5CB63446"/>
    <w:lvl w:ilvl="0">
      <w:start w:val="1"/>
      <w:numFmt w:val="bullet"/>
      <w:lvlText w:val=""/>
      <w:lvlJc w:val="left"/>
      <w:pPr>
        <w:tabs>
          <w:tab w:val="num" w:pos="1080"/>
        </w:tabs>
        <w:ind w:left="1080" w:hanging="360"/>
      </w:pPr>
      <w:rPr>
        <w:rFonts w:ascii="Symbol" w:hAnsi="Symbol" w:hint="default"/>
        <w:sz w:val="20"/>
        <w:szCs w:val="2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7">
    <w:nsid w:val="6B2A016A"/>
    <w:multiLevelType w:val="hybridMultilevel"/>
    <w:tmpl w:val="F26A8C6C"/>
    <w:lvl w:ilvl="0" w:tplc="727A3152">
      <w:start w:val="1"/>
      <w:numFmt w:val="bullet"/>
      <w:lvlText w:val=""/>
      <w:lvlJc w:val="left"/>
      <w:pPr>
        <w:tabs>
          <w:tab w:val="num" w:pos="1080"/>
        </w:tabs>
        <w:ind w:left="1080" w:hanging="360"/>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6DA4050D"/>
    <w:multiLevelType w:val="multilevel"/>
    <w:tmpl w:val="169222D2"/>
    <w:lvl w:ilvl="0">
      <w:start w:val="1"/>
      <w:numFmt w:val="bullet"/>
      <w:lvlText w:val=""/>
      <w:lvlJc w:val="left"/>
      <w:pPr>
        <w:tabs>
          <w:tab w:val="num" w:pos="1080"/>
        </w:tabs>
        <w:ind w:left="1080" w:hanging="360"/>
      </w:pPr>
      <w:rPr>
        <w:rFonts w:ascii="Symbol" w:hAnsi="Symbol" w:hint="default"/>
        <w:sz w:val="20"/>
        <w:szCs w:val="2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9">
    <w:nsid w:val="7485520B"/>
    <w:multiLevelType w:val="multilevel"/>
    <w:tmpl w:val="B04861E2"/>
    <w:lvl w:ilvl="0">
      <w:start w:val="1"/>
      <w:numFmt w:val="bullet"/>
      <w:lvlText w:val=""/>
      <w:lvlJc w:val="left"/>
      <w:pPr>
        <w:tabs>
          <w:tab w:val="num" w:pos="840"/>
        </w:tabs>
        <w:ind w:left="840" w:hanging="360"/>
      </w:pPr>
      <w:rPr>
        <w:rFonts w:ascii="Symbol" w:hAnsi="Symbol" w:hint="default"/>
      </w:rPr>
    </w:lvl>
    <w:lvl w:ilvl="1">
      <w:start w:val="1"/>
      <w:numFmt w:val="bullet"/>
      <w:lvlText w:val="o"/>
      <w:lvlJc w:val="left"/>
      <w:pPr>
        <w:tabs>
          <w:tab w:val="num" w:pos="1560"/>
        </w:tabs>
        <w:ind w:left="1560" w:hanging="360"/>
      </w:pPr>
      <w:rPr>
        <w:rFonts w:ascii="Courier New" w:hAnsi="Courier New" w:cs="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3000"/>
        </w:tabs>
        <w:ind w:left="3000" w:hanging="360"/>
      </w:pPr>
      <w:rPr>
        <w:rFonts w:ascii="Symbol" w:hAnsi="Symbol" w:hint="default"/>
      </w:rPr>
    </w:lvl>
    <w:lvl w:ilvl="4">
      <w:start w:val="1"/>
      <w:numFmt w:val="bullet"/>
      <w:lvlText w:val="o"/>
      <w:lvlJc w:val="left"/>
      <w:pPr>
        <w:tabs>
          <w:tab w:val="num" w:pos="3720"/>
        </w:tabs>
        <w:ind w:left="3720" w:hanging="360"/>
      </w:pPr>
      <w:rPr>
        <w:rFonts w:ascii="Courier New" w:hAnsi="Courier New" w:cs="Courier New"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cs="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40">
    <w:nsid w:val="777A51A4"/>
    <w:multiLevelType w:val="multilevel"/>
    <w:tmpl w:val="412801C2"/>
    <w:lvl w:ilvl="0">
      <w:start w:val="1"/>
      <w:numFmt w:val="bullet"/>
      <w:lvlText w:val=""/>
      <w:lvlJc w:val="left"/>
      <w:pPr>
        <w:tabs>
          <w:tab w:val="num" w:pos="1080"/>
        </w:tabs>
        <w:ind w:left="1080" w:hanging="360"/>
      </w:pPr>
      <w:rPr>
        <w:rFonts w:ascii="Symbol" w:hAnsi="Symbol" w:hint="default"/>
        <w:sz w:val="20"/>
        <w:szCs w:val="2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1">
    <w:nsid w:val="7DD931D9"/>
    <w:multiLevelType w:val="hybridMultilevel"/>
    <w:tmpl w:val="31F852D8"/>
    <w:lvl w:ilvl="0" w:tplc="0409000D">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nsid w:val="7E1E1414"/>
    <w:multiLevelType w:val="multilevel"/>
    <w:tmpl w:val="F26A8C6C"/>
    <w:lvl w:ilvl="0">
      <w:start w:val="1"/>
      <w:numFmt w:val="bullet"/>
      <w:lvlText w:val=""/>
      <w:lvlJc w:val="left"/>
      <w:pPr>
        <w:tabs>
          <w:tab w:val="num" w:pos="1080"/>
        </w:tabs>
        <w:ind w:left="1080" w:hanging="360"/>
      </w:pPr>
      <w:rPr>
        <w:rFonts w:ascii="Symbol" w:hAnsi="Symbol" w:hint="default"/>
        <w:sz w:val="20"/>
        <w:szCs w:val="2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3">
    <w:nsid w:val="7F2D3EA6"/>
    <w:multiLevelType w:val="hybridMultilevel"/>
    <w:tmpl w:val="53FEBC56"/>
    <w:lvl w:ilvl="0" w:tplc="0409000B">
      <w:start w:val="1"/>
      <w:numFmt w:val="bullet"/>
      <w:lvlText w:val=""/>
      <w:lvlJc w:val="left"/>
      <w:pPr>
        <w:tabs>
          <w:tab w:val="num" w:pos="1080"/>
        </w:tabs>
        <w:ind w:left="1080" w:hanging="360"/>
      </w:pPr>
      <w:rPr>
        <w:rFonts w:ascii="Wingdings" w:hAnsi="Wingding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nsid w:val="7F6C2F13"/>
    <w:multiLevelType w:val="multilevel"/>
    <w:tmpl w:val="35EC1E3E"/>
    <w:lvl w:ilvl="0">
      <w:start w:val="1"/>
      <w:numFmt w:val="bullet"/>
      <w:lvlText w:val=""/>
      <w:lvlJc w:val="left"/>
      <w:pPr>
        <w:tabs>
          <w:tab w:val="num" w:pos="1080"/>
        </w:tabs>
        <w:ind w:left="1080" w:hanging="360"/>
      </w:pPr>
      <w:rPr>
        <w:rFonts w:ascii="Symbol" w:hAnsi="Symbol" w:hint="default"/>
        <w:sz w:val="20"/>
        <w:szCs w:val="2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num w:numId="1">
    <w:abstractNumId w:val="29"/>
  </w:num>
  <w:num w:numId="2">
    <w:abstractNumId w:val="2"/>
  </w:num>
  <w:num w:numId="3">
    <w:abstractNumId w:val="41"/>
  </w:num>
  <w:num w:numId="4">
    <w:abstractNumId w:val="25"/>
  </w:num>
  <w:num w:numId="5">
    <w:abstractNumId w:val="17"/>
  </w:num>
  <w:num w:numId="6">
    <w:abstractNumId w:val="6"/>
  </w:num>
  <w:num w:numId="7">
    <w:abstractNumId w:val="30"/>
  </w:num>
  <w:num w:numId="8">
    <w:abstractNumId w:val="14"/>
  </w:num>
  <w:num w:numId="9">
    <w:abstractNumId w:val="28"/>
  </w:num>
  <w:num w:numId="10">
    <w:abstractNumId w:val="39"/>
  </w:num>
  <w:num w:numId="11">
    <w:abstractNumId w:val="18"/>
  </w:num>
  <w:num w:numId="12">
    <w:abstractNumId w:val="15"/>
  </w:num>
  <w:num w:numId="13">
    <w:abstractNumId w:val="37"/>
  </w:num>
  <w:num w:numId="14">
    <w:abstractNumId w:val="27"/>
  </w:num>
  <w:num w:numId="15">
    <w:abstractNumId w:val="22"/>
  </w:num>
  <w:num w:numId="16">
    <w:abstractNumId w:val="7"/>
  </w:num>
  <w:num w:numId="17">
    <w:abstractNumId w:val="21"/>
  </w:num>
  <w:num w:numId="18">
    <w:abstractNumId w:val="16"/>
  </w:num>
  <w:num w:numId="19">
    <w:abstractNumId w:val="33"/>
  </w:num>
  <w:num w:numId="20">
    <w:abstractNumId w:val="11"/>
  </w:num>
  <w:num w:numId="21">
    <w:abstractNumId w:val="1"/>
  </w:num>
  <w:num w:numId="22">
    <w:abstractNumId w:val="13"/>
  </w:num>
  <w:num w:numId="23">
    <w:abstractNumId w:val="35"/>
  </w:num>
  <w:num w:numId="24">
    <w:abstractNumId w:val="4"/>
  </w:num>
  <w:num w:numId="25">
    <w:abstractNumId w:val="20"/>
  </w:num>
  <w:num w:numId="26">
    <w:abstractNumId w:val="3"/>
  </w:num>
  <w:num w:numId="27">
    <w:abstractNumId w:val="5"/>
  </w:num>
  <w:num w:numId="28">
    <w:abstractNumId w:val="40"/>
  </w:num>
  <w:num w:numId="29">
    <w:abstractNumId w:val="26"/>
  </w:num>
  <w:num w:numId="30">
    <w:abstractNumId w:val="36"/>
  </w:num>
  <w:num w:numId="31">
    <w:abstractNumId w:val="24"/>
  </w:num>
  <w:num w:numId="32">
    <w:abstractNumId w:val="31"/>
  </w:num>
  <w:num w:numId="33">
    <w:abstractNumId w:val="0"/>
  </w:num>
  <w:num w:numId="34">
    <w:abstractNumId w:val="8"/>
  </w:num>
  <w:num w:numId="35">
    <w:abstractNumId w:val="9"/>
  </w:num>
  <w:num w:numId="36">
    <w:abstractNumId w:val="44"/>
  </w:num>
  <w:num w:numId="37">
    <w:abstractNumId w:val="19"/>
  </w:num>
  <w:num w:numId="38">
    <w:abstractNumId w:val="12"/>
  </w:num>
  <w:num w:numId="39">
    <w:abstractNumId w:val="10"/>
  </w:num>
  <w:num w:numId="40">
    <w:abstractNumId w:val="42"/>
  </w:num>
  <w:num w:numId="41">
    <w:abstractNumId w:val="43"/>
  </w:num>
  <w:num w:numId="42">
    <w:abstractNumId w:val="23"/>
  </w:num>
  <w:num w:numId="43">
    <w:abstractNumId w:val="34"/>
  </w:num>
  <w:num w:numId="44">
    <w:abstractNumId w:val="38"/>
  </w:num>
  <w:num w:numId="4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noPunctuationKerning/>
  <w:characterSpacingControl w:val="doNotCompress"/>
  <w:compat/>
  <w:rsids>
    <w:rsidRoot w:val="000D7222"/>
    <w:rsid w:val="00014C25"/>
    <w:rsid w:val="00026FA8"/>
    <w:rsid w:val="00035DC1"/>
    <w:rsid w:val="0006500F"/>
    <w:rsid w:val="00082121"/>
    <w:rsid w:val="0008216D"/>
    <w:rsid w:val="00090550"/>
    <w:rsid w:val="000C4C88"/>
    <w:rsid w:val="000C7DB5"/>
    <w:rsid w:val="000D7222"/>
    <w:rsid w:val="000E3033"/>
    <w:rsid w:val="00112797"/>
    <w:rsid w:val="001156CF"/>
    <w:rsid w:val="00145405"/>
    <w:rsid w:val="00174A6C"/>
    <w:rsid w:val="00190C8A"/>
    <w:rsid w:val="001C5D4F"/>
    <w:rsid w:val="001F3EEE"/>
    <w:rsid w:val="00205474"/>
    <w:rsid w:val="00206305"/>
    <w:rsid w:val="00212F3E"/>
    <w:rsid w:val="00225EB0"/>
    <w:rsid w:val="0027274C"/>
    <w:rsid w:val="002A52A8"/>
    <w:rsid w:val="002A60E6"/>
    <w:rsid w:val="002E2DAB"/>
    <w:rsid w:val="002F15EE"/>
    <w:rsid w:val="002F1C69"/>
    <w:rsid w:val="002F1D05"/>
    <w:rsid w:val="00311E0B"/>
    <w:rsid w:val="003A2636"/>
    <w:rsid w:val="003A4BE8"/>
    <w:rsid w:val="003B08A9"/>
    <w:rsid w:val="003E16AB"/>
    <w:rsid w:val="003E24B8"/>
    <w:rsid w:val="00404BDB"/>
    <w:rsid w:val="004144E1"/>
    <w:rsid w:val="004235FE"/>
    <w:rsid w:val="00424833"/>
    <w:rsid w:val="00442137"/>
    <w:rsid w:val="00464BDB"/>
    <w:rsid w:val="004A0CC6"/>
    <w:rsid w:val="0051118B"/>
    <w:rsid w:val="00557F23"/>
    <w:rsid w:val="00564EB9"/>
    <w:rsid w:val="00566C00"/>
    <w:rsid w:val="00594707"/>
    <w:rsid w:val="005B0126"/>
    <w:rsid w:val="005B789E"/>
    <w:rsid w:val="005C43FD"/>
    <w:rsid w:val="005E2BB0"/>
    <w:rsid w:val="00612228"/>
    <w:rsid w:val="0061475E"/>
    <w:rsid w:val="006607B8"/>
    <w:rsid w:val="00674B7D"/>
    <w:rsid w:val="00687F86"/>
    <w:rsid w:val="0069326F"/>
    <w:rsid w:val="006B116E"/>
    <w:rsid w:val="00713777"/>
    <w:rsid w:val="00720AA1"/>
    <w:rsid w:val="007357F8"/>
    <w:rsid w:val="00754342"/>
    <w:rsid w:val="00757293"/>
    <w:rsid w:val="00757ADB"/>
    <w:rsid w:val="007930EF"/>
    <w:rsid w:val="007C061E"/>
    <w:rsid w:val="007C43C2"/>
    <w:rsid w:val="007D22FB"/>
    <w:rsid w:val="007D2657"/>
    <w:rsid w:val="007E546B"/>
    <w:rsid w:val="008005E0"/>
    <w:rsid w:val="00836212"/>
    <w:rsid w:val="0084567D"/>
    <w:rsid w:val="00870324"/>
    <w:rsid w:val="00872486"/>
    <w:rsid w:val="0089244F"/>
    <w:rsid w:val="008A05A9"/>
    <w:rsid w:val="008C7EB1"/>
    <w:rsid w:val="008F5306"/>
    <w:rsid w:val="00904D0E"/>
    <w:rsid w:val="0096569F"/>
    <w:rsid w:val="009710FF"/>
    <w:rsid w:val="00990208"/>
    <w:rsid w:val="009961AC"/>
    <w:rsid w:val="00A27FF1"/>
    <w:rsid w:val="00A43C7B"/>
    <w:rsid w:val="00A63437"/>
    <w:rsid w:val="00B00672"/>
    <w:rsid w:val="00B03195"/>
    <w:rsid w:val="00B25AE2"/>
    <w:rsid w:val="00B41299"/>
    <w:rsid w:val="00B43A4C"/>
    <w:rsid w:val="00B6015C"/>
    <w:rsid w:val="00B674CC"/>
    <w:rsid w:val="00B826C7"/>
    <w:rsid w:val="00BC6486"/>
    <w:rsid w:val="00C45C5D"/>
    <w:rsid w:val="00C5011E"/>
    <w:rsid w:val="00C91751"/>
    <w:rsid w:val="00D332F0"/>
    <w:rsid w:val="00D455E7"/>
    <w:rsid w:val="00D801A0"/>
    <w:rsid w:val="00D87EB4"/>
    <w:rsid w:val="00D9223E"/>
    <w:rsid w:val="00DA43EA"/>
    <w:rsid w:val="00E3379A"/>
    <w:rsid w:val="00E7128F"/>
    <w:rsid w:val="00EC319A"/>
    <w:rsid w:val="00EC753F"/>
    <w:rsid w:val="00ED004F"/>
    <w:rsid w:val="00EE5DAE"/>
    <w:rsid w:val="00EE6610"/>
    <w:rsid w:val="00EF3D5E"/>
    <w:rsid w:val="00F37512"/>
    <w:rsid w:val="00F411E8"/>
    <w:rsid w:val="00FA17DF"/>
    <w:rsid w:val="00FB1370"/>
    <w:rsid w:val="00FD18FD"/>
    <w:rsid w:val="00FD5F0D"/>
    <w:rsid w:val="00FE564E"/>
    <w:rsid w:val="00FE68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fillcolor="white">
      <v:fill color="white" opacity="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05A9"/>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A05A9"/>
    <w:pPr>
      <w:autoSpaceDE w:val="0"/>
      <w:autoSpaceDN w:val="0"/>
      <w:adjustRightInd w:val="0"/>
    </w:pPr>
    <w:rPr>
      <w:rFonts w:ascii="Arial" w:hAnsi="Arial" w:cs="Arial"/>
      <w:color w:val="000000"/>
      <w:sz w:val="24"/>
      <w:szCs w:val="24"/>
      <w:lang w:bidi="ar-SA"/>
    </w:rPr>
  </w:style>
  <w:style w:type="character" w:styleId="Hyperlink">
    <w:name w:val="Hyperlink"/>
    <w:basedOn w:val="DefaultParagraphFont"/>
    <w:rsid w:val="008A05A9"/>
    <w:rPr>
      <w:color w:val="0000FF"/>
      <w:u w:val="single"/>
    </w:rPr>
  </w:style>
  <w:style w:type="paragraph" w:styleId="BalloonText">
    <w:name w:val="Balloon Text"/>
    <w:basedOn w:val="Normal"/>
    <w:semiHidden/>
    <w:rsid w:val="008A05A9"/>
    <w:rPr>
      <w:rFonts w:ascii="Tahoma" w:hAnsi="Tahoma" w:cs="Tahoma"/>
      <w:sz w:val="16"/>
      <w:szCs w:val="16"/>
    </w:rPr>
  </w:style>
  <w:style w:type="character" w:styleId="Strong">
    <w:name w:val="Strong"/>
    <w:basedOn w:val="DefaultParagraphFont"/>
    <w:qFormat/>
    <w:rsid w:val="008A05A9"/>
    <w:rPr>
      <w:b/>
      <w:bCs/>
    </w:rPr>
  </w:style>
  <w:style w:type="paragraph" w:styleId="NormalWeb">
    <w:name w:val="Normal (Web)"/>
    <w:basedOn w:val="Normal"/>
    <w:rsid w:val="008A05A9"/>
    <w:pPr>
      <w:spacing w:before="100" w:beforeAutospacing="1" w:after="100" w:afterAutospacing="1"/>
    </w:pPr>
    <w:rPr>
      <w:rFonts w:ascii="Arial" w:hAnsi="Arial" w:cs="Arial"/>
      <w:sz w:val="20"/>
      <w:szCs w:val="20"/>
    </w:rPr>
  </w:style>
  <w:style w:type="character" w:styleId="CommentReference">
    <w:name w:val="annotation reference"/>
    <w:basedOn w:val="DefaultParagraphFont"/>
    <w:semiHidden/>
    <w:rsid w:val="008A05A9"/>
    <w:rPr>
      <w:sz w:val="16"/>
      <w:szCs w:val="16"/>
    </w:rPr>
  </w:style>
  <w:style w:type="paragraph" w:styleId="CommentText">
    <w:name w:val="annotation text"/>
    <w:basedOn w:val="Normal"/>
    <w:semiHidden/>
    <w:rsid w:val="008A05A9"/>
    <w:rPr>
      <w:sz w:val="20"/>
      <w:szCs w:val="20"/>
    </w:rPr>
  </w:style>
  <w:style w:type="paragraph" w:styleId="CommentSubject">
    <w:name w:val="annotation subject"/>
    <w:basedOn w:val="CommentText"/>
    <w:next w:val="CommentText"/>
    <w:semiHidden/>
    <w:rsid w:val="008A05A9"/>
    <w:rPr>
      <w:b/>
      <w:bCs/>
    </w:rPr>
  </w:style>
  <w:style w:type="character" w:styleId="FollowedHyperlink">
    <w:name w:val="FollowedHyperlink"/>
    <w:basedOn w:val="DefaultParagraphFont"/>
    <w:rsid w:val="008A05A9"/>
    <w:rPr>
      <w:color w:val="800080"/>
      <w:u w:val="single"/>
    </w:rPr>
  </w:style>
  <w:style w:type="paragraph" w:styleId="Revision">
    <w:name w:val="Revision"/>
    <w:hidden/>
    <w:uiPriority w:val="99"/>
    <w:semiHidden/>
    <w:rsid w:val="007D22FB"/>
    <w:rPr>
      <w:sz w:val="24"/>
      <w:szCs w:val="24"/>
      <w:lang w:bidi="ar-SA"/>
    </w:rPr>
  </w:style>
</w:styles>
</file>

<file path=word/webSettings.xml><?xml version="1.0" encoding="utf-8"?>
<w:webSettings xmlns:r="http://schemas.openxmlformats.org/officeDocument/2006/relationships" xmlns:w="http://schemas.openxmlformats.org/wordprocessingml/2006/main">
  <w:divs>
    <w:div w:id="50156052">
      <w:bodyDiv w:val="1"/>
      <w:marLeft w:val="0"/>
      <w:marRight w:val="0"/>
      <w:marTop w:val="0"/>
      <w:marBottom w:val="0"/>
      <w:divBdr>
        <w:top w:val="none" w:sz="0" w:space="0" w:color="auto"/>
        <w:left w:val="none" w:sz="0" w:space="0" w:color="auto"/>
        <w:bottom w:val="none" w:sz="0" w:space="0" w:color="auto"/>
        <w:right w:val="none" w:sz="0" w:space="0" w:color="auto"/>
      </w:divBdr>
    </w:div>
    <w:div w:id="510798436">
      <w:bodyDiv w:val="1"/>
      <w:marLeft w:val="0"/>
      <w:marRight w:val="0"/>
      <w:marTop w:val="0"/>
      <w:marBottom w:val="0"/>
      <w:divBdr>
        <w:top w:val="none" w:sz="0" w:space="0" w:color="auto"/>
        <w:left w:val="none" w:sz="0" w:space="0" w:color="auto"/>
        <w:bottom w:val="none" w:sz="0" w:space="0" w:color="auto"/>
        <w:right w:val="none" w:sz="0" w:space="0" w:color="auto"/>
      </w:divBdr>
    </w:div>
    <w:div w:id="970672124">
      <w:bodyDiv w:val="1"/>
      <w:marLeft w:val="0"/>
      <w:marRight w:val="0"/>
      <w:marTop w:val="0"/>
      <w:marBottom w:val="0"/>
      <w:divBdr>
        <w:top w:val="none" w:sz="0" w:space="0" w:color="auto"/>
        <w:left w:val="none" w:sz="0" w:space="0" w:color="auto"/>
        <w:bottom w:val="none" w:sz="0" w:space="0" w:color="auto"/>
        <w:right w:val="none" w:sz="0" w:space="0" w:color="auto"/>
      </w:divBdr>
    </w:div>
    <w:div w:id="1013264132">
      <w:bodyDiv w:val="1"/>
      <w:marLeft w:val="0"/>
      <w:marRight w:val="0"/>
      <w:marTop w:val="0"/>
      <w:marBottom w:val="0"/>
      <w:divBdr>
        <w:top w:val="none" w:sz="0" w:space="0" w:color="auto"/>
        <w:left w:val="none" w:sz="0" w:space="0" w:color="auto"/>
        <w:bottom w:val="none" w:sz="0" w:space="0" w:color="auto"/>
        <w:right w:val="none" w:sz="0" w:space="0" w:color="auto"/>
      </w:divBdr>
    </w:div>
    <w:div w:id="151106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ms.hhs.gov/OrgMedFFSAppeals/02_RedeterminationbyaMedicareContractor.asp" TargetMode="External"/><Relationship Id="rId13" Type="http://schemas.openxmlformats.org/officeDocument/2006/relationships/hyperlink" Target="http://www.cms.hhs.gov/OrgMedFFSAppeals/03_ReconsiderationbyaQualifiedIndependentContractor.as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ms.hhs.gov/OrgMedFFSAppeals" TargetMode="External"/><Relationship Id="rId12" Type="http://schemas.openxmlformats.org/officeDocument/2006/relationships/chart" Target="charts/chart4.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hyperlink" Target="http://www.cms.hhs.gov/MedicareContractingReform/" TargetMode="Externa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p21n\Desktop\Fact%20Sheet%20Data\2009%20QIC%20Dispositions.xls"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5.xml.rels><?xml version="1.0" encoding="UTF-8" standalone="yes"?>
<Relationships xmlns="http://schemas.openxmlformats.org/package/2006/relationships"><Relationship Id="rId1" Type="http://schemas.openxmlformats.org/officeDocument/2006/relationships/oleObject" Target="file:///C:\Documents%20and%20Settings\p21n\Desktop\Fact%20Sheet%20Data\2009%20QIC%20Dispositions.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Documents%20and%20Settings\p21n\Desktop\Fact%20Sheet%20Data\2009%20QIC%20Dispositions.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Documents%20and%20Settings\p21n\Desktop\Fact%20Sheet%20Data\2009%20QIC%20Dispositions.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otX val="20"/>
      <c:perspective val="30"/>
    </c:view3D>
    <c:plotArea>
      <c:layout>
        <c:manualLayout>
          <c:layoutTarget val="inner"/>
          <c:xMode val="edge"/>
          <c:yMode val="edge"/>
          <c:x val="7.5985984726196984E-2"/>
          <c:y val="0.10844795716324943"/>
          <c:w val="0.47969474546324331"/>
          <c:h val="0.57848166947227109"/>
        </c:manualLayout>
      </c:layout>
      <c:pie3DChart>
        <c:varyColors val="1"/>
        <c:ser>
          <c:idx val="0"/>
          <c:order val="0"/>
          <c:tx>
            <c:strRef>
              <c:f>Sheet1!$B$1</c:f>
              <c:strCache>
                <c:ptCount val="1"/>
                <c:pt idx="0">
                  <c:v>Column 1</c:v>
                </c:pt>
              </c:strCache>
            </c:strRef>
          </c:tx>
          <c:spPr>
            <a:ln>
              <a:solidFill>
                <a:sysClr val="windowText" lastClr="000000"/>
              </a:solidFill>
            </a:ln>
          </c:spPr>
          <c:explosion val="17"/>
          <c:dPt>
            <c:idx val="0"/>
            <c:explosion val="1"/>
          </c:dPt>
          <c:dLbls>
            <c:dLbl>
              <c:idx val="0"/>
              <c:layout>
                <c:manualLayout>
                  <c:x val="-7.6311782905094341E-2"/>
                  <c:y val="-0.26248186515615846"/>
                </c:manualLayout>
              </c:layout>
              <c:tx>
                <c:rich>
                  <a:bodyPr/>
                  <a:lstStyle/>
                  <a:p>
                    <a:r>
                      <a:rPr lang="en-US" b="1"/>
                      <a:t>51.0%</a:t>
                    </a:r>
                  </a:p>
                </c:rich>
              </c:tx>
              <c:showVal val="1"/>
              <c:showPercent val="1"/>
              <c:separator> </c:separator>
            </c:dLbl>
            <c:dLbl>
              <c:idx val="1"/>
              <c:tx>
                <c:rich>
                  <a:bodyPr/>
                  <a:lstStyle/>
                  <a:p>
                    <a:r>
                      <a:rPr lang="en-US" b="1"/>
                      <a:t>4.0%</a:t>
                    </a:r>
                  </a:p>
                </c:rich>
              </c:tx>
              <c:showVal val="1"/>
              <c:showPercent val="1"/>
              <c:separator> </c:separator>
            </c:dLbl>
            <c:dLbl>
              <c:idx val="2"/>
              <c:layout>
                <c:manualLayout>
                  <c:x val="4.4085573743828845E-3"/>
                  <c:y val="-0.12810907199739124"/>
                </c:manualLayout>
              </c:layout>
              <c:tx>
                <c:rich>
                  <a:bodyPr/>
                  <a:lstStyle/>
                  <a:p>
                    <a:r>
                      <a:rPr lang="en-US" b="1"/>
                      <a:t>45.0%</a:t>
                    </a:r>
                  </a:p>
                </c:rich>
              </c:tx>
              <c:showVal val="1"/>
              <c:showPercent val="1"/>
              <c:separator> </c:separator>
            </c:dLbl>
            <c:txPr>
              <a:bodyPr/>
              <a:lstStyle/>
              <a:p>
                <a:pPr>
                  <a:defRPr b="1"/>
                </a:pPr>
                <a:endParaRPr lang="en-US"/>
              </a:p>
            </c:txPr>
            <c:showVal val="1"/>
            <c:showPercent val="1"/>
            <c:separator> </c:separator>
          </c:dLbls>
          <c:cat>
            <c:strRef>
              <c:f>Sheet1!$A$2:$A$5</c:f>
              <c:strCache>
                <c:ptCount val="3"/>
                <c:pt idx="0">
                  <c:v>Unfavorable</c:v>
                </c:pt>
                <c:pt idx="1">
                  <c:v>Partially Favorable</c:v>
                </c:pt>
                <c:pt idx="2">
                  <c:v>Fully Favorable</c:v>
                </c:pt>
              </c:strCache>
            </c:strRef>
          </c:cat>
          <c:val>
            <c:numRef>
              <c:f>Sheet1!$B$2:$B$5</c:f>
              <c:numCache>
                <c:formatCode>0.00%</c:formatCode>
                <c:ptCount val="4"/>
                <c:pt idx="0">
                  <c:v>0.51</c:v>
                </c:pt>
                <c:pt idx="1">
                  <c:v>4.0000000000000042E-2</c:v>
                </c:pt>
                <c:pt idx="2">
                  <c:v>0.45</c:v>
                </c:pt>
              </c:numCache>
            </c:numRef>
          </c:val>
        </c:ser>
      </c:pie3DChart>
    </c:plotArea>
    <c:legend>
      <c:legendPos val="r"/>
      <c:legendEntry>
        <c:idx val="3"/>
        <c:delete val="1"/>
      </c:legendEntry>
      <c:layout>
        <c:manualLayout>
          <c:xMode val="edge"/>
          <c:yMode val="edge"/>
          <c:x val="0.59324918136215976"/>
          <c:y val="0.28478902630424552"/>
          <c:w val="0.32570771689607808"/>
          <c:h val="0.23012745918106306"/>
        </c:manualLayout>
      </c:layout>
      <c:spPr>
        <a:ln>
          <a:solidFill>
            <a:sysClr val="windowText" lastClr="000000"/>
          </a:solidFill>
        </a:ln>
      </c:spPr>
      <c:txPr>
        <a:bodyPr/>
        <a:lstStyle/>
        <a:p>
          <a:pPr>
            <a:defRPr sz="600" b="0"/>
          </a:pPr>
          <a:endParaRPr lang="en-US"/>
        </a:p>
      </c:txPr>
    </c:legend>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otX val="20"/>
      <c:perspective val="30"/>
    </c:view3D>
    <c:plotArea>
      <c:layout>
        <c:manualLayout>
          <c:layoutTarget val="inner"/>
          <c:xMode val="edge"/>
          <c:yMode val="edge"/>
          <c:x val="9.3627268647307457E-2"/>
          <c:y val="0.13379564988303089"/>
          <c:w val="0.45471681309297451"/>
          <c:h val="0.55926053946198151"/>
        </c:manualLayout>
      </c:layout>
      <c:pie3DChart>
        <c:varyColors val="1"/>
        <c:ser>
          <c:idx val="0"/>
          <c:order val="0"/>
          <c:tx>
            <c:strRef>
              <c:f>Sheet1!$B$1</c:f>
              <c:strCache>
                <c:ptCount val="1"/>
                <c:pt idx="0">
                  <c:v>Column1</c:v>
                </c:pt>
              </c:strCache>
            </c:strRef>
          </c:tx>
          <c:spPr>
            <a:ln>
              <a:solidFill>
                <a:sysClr val="windowText" lastClr="000000"/>
              </a:solidFill>
            </a:ln>
          </c:spPr>
          <c:explosion val="25"/>
          <c:dPt>
            <c:idx val="2"/>
            <c:explosion val="12"/>
          </c:dPt>
          <c:dLbls>
            <c:dLbl>
              <c:idx val="0"/>
              <c:layout>
                <c:manualLayout>
                  <c:x val="-6.6536253425530836E-2"/>
                  <c:y val="-9.2948557709900889E-2"/>
                </c:manualLayout>
              </c:layout>
              <c:showVal val="1"/>
            </c:dLbl>
            <c:dLbl>
              <c:idx val="1"/>
              <c:showVal val="1"/>
            </c:dLbl>
            <c:dLbl>
              <c:idx val="2"/>
              <c:layout>
                <c:manualLayout>
                  <c:x val="6.8863605798032981E-2"/>
                  <c:y val="0.15518760053664221"/>
                </c:manualLayout>
              </c:layout>
              <c:showVal val="1"/>
            </c:dLbl>
            <c:delete val="1"/>
          </c:dLbls>
          <c:cat>
            <c:strRef>
              <c:f>Sheet1!$A$2:$A$5</c:f>
              <c:strCache>
                <c:ptCount val="3"/>
                <c:pt idx="0">
                  <c:v>Unfavorable</c:v>
                </c:pt>
                <c:pt idx="1">
                  <c:v>Partially Favorable</c:v>
                </c:pt>
                <c:pt idx="2">
                  <c:v>Fully Favorable</c:v>
                </c:pt>
              </c:strCache>
            </c:strRef>
          </c:cat>
          <c:val>
            <c:numRef>
              <c:f>Sheet1!$B$2:$B$5</c:f>
              <c:numCache>
                <c:formatCode>0.00%</c:formatCode>
                <c:ptCount val="4"/>
                <c:pt idx="0">
                  <c:v>0.43700000000000111</c:v>
                </c:pt>
                <c:pt idx="1">
                  <c:v>2.7000000000000097E-2</c:v>
                </c:pt>
                <c:pt idx="2">
                  <c:v>0.53600000000000003</c:v>
                </c:pt>
              </c:numCache>
            </c:numRef>
          </c:val>
        </c:ser>
      </c:pie3DChart>
    </c:plotArea>
    <c:legend>
      <c:legendPos val="r"/>
      <c:legendEntry>
        <c:idx val="3"/>
        <c:delete val="1"/>
      </c:legendEntry>
      <c:layout>
        <c:manualLayout>
          <c:xMode val="edge"/>
          <c:yMode val="edge"/>
          <c:x val="0.67553955955106415"/>
          <c:y val="0.30053436136879308"/>
          <c:w val="0.28453293138109381"/>
          <c:h val="0.22219664787085505"/>
        </c:manualLayout>
      </c:layout>
      <c:spPr>
        <a:ln>
          <a:solidFill>
            <a:sysClr val="windowText" lastClr="000000"/>
          </a:solidFill>
        </a:ln>
      </c:spPr>
      <c:txPr>
        <a:bodyPr/>
        <a:lstStyle/>
        <a:p>
          <a:pPr>
            <a:defRPr sz="600"/>
          </a:pPr>
          <a:endParaRPr lang="en-US"/>
        </a:p>
      </c:txPr>
    </c:legend>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otX val="20"/>
      <c:perspective val="30"/>
    </c:view3D>
    <c:plotArea>
      <c:layout>
        <c:manualLayout>
          <c:layoutTarget val="inner"/>
          <c:xMode val="edge"/>
          <c:yMode val="edge"/>
          <c:x val="9.4664241950926722E-2"/>
          <c:y val="0.14583333333333351"/>
          <c:w val="0.44529935844157942"/>
          <c:h val="0.60227272727272729"/>
        </c:manualLayout>
      </c:layout>
      <c:pie3DChart>
        <c:varyColors val="1"/>
        <c:ser>
          <c:idx val="0"/>
          <c:order val="0"/>
          <c:tx>
            <c:strRef>
              <c:f>Sheet1!$B$1</c:f>
              <c:strCache>
                <c:ptCount val="1"/>
                <c:pt idx="0">
                  <c:v>Column1</c:v>
                </c:pt>
              </c:strCache>
            </c:strRef>
          </c:tx>
          <c:spPr>
            <a:ln>
              <a:solidFill>
                <a:sysClr val="windowText" lastClr="000000"/>
              </a:solidFill>
            </a:ln>
          </c:spPr>
          <c:explosion val="8"/>
          <c:dLbls>
            <c:dLbl>
              <c:idx val="0"/>
              <c:layout>
                <c:manualLayout>
                  <c:x val="-8.5499379445517693E-2"/>
                  <c:y val="-0.13753698401336212"/>
                </c:manualLayout>
              </c:layout>
              <c:showVal val="1"/>
            </c:dLbl>
            <c:numFmt formatCode="0.0%" sourceLinked="0"/>
            <c:txPr>
              <a:bodyPr/>
              <a:lstStyle/>
              <a:p>
                <a:pPr>
                  <a:defRPr b="1"/>
                </a:pPr>
                <a:endParaRPr lang="en-US"/>
              </a:p>
            </c:txPr>
            <c:showVal val="1"/>
          </c:dLbls>
          <c:cat>
            <c:strRef>
              <c:f>Sheet1!$A$2:$A$5</c:f>
              <c:strCache>
                <c:ptCount val="3"/>
                <c:pt idx="0">
                  <c:v>Unfavorable</c:v>
                </c:pt>
                <c:pt idx="1">
                  <c:v>Partially Favorable</c:v>
                </c:pt>
                <c:pt idx="2">
                  <c:v>Fully Favorable</c:v>
                </c:pt>
              </c:strCache>
            </c:strRef>
          </c:cat>
          <c:val>
            <c:numRef>
              <c:f>Sheet1!$B$2:$B$5</c:f>
              <c:numCache>
                <c:formatCode>0.00%</c:formatCode>
                <c:ptCount val="4"/>
                <c:pt idx="0">
                  <c:v>0.45300000000000001</c:v>
                </c:pt>
                <c:pt idx="1">
                  <c:v>7.0000000000000021E-2</c:v>
                </c:pt>
                <c:pt idx="2">
                  <c:v>0.47700000000000031</c:v>
                </c:pt>
              </c:numCache>
            </c:numRef>
          </c:val>
        </c:ser>
      </c:pie3DChart>
      <c:spPr>
        <a:ln>
          <a:noFill/>
        </a:ln>
      </c:spPr>
    </c:plotArea>
    <c:legend>
      <c:legendPos val="r"/>
      <c:legendEntry>
        <c:idx val="3"/>
        <c:delete val="1"/>
      </c:legendEntry>
      <c:layout>
        <c:manualLayout>
          <c:xMode val="edge"/>
          <c:yMode val="edge"/>
          <c:x val="0.57794608195361152"/>
          <c:y val="0.34660045335242212"/>
          <c:w val="0.3074705809537599"/>
          <c:h val="0.20073848723455026"/>
        </c:manualLayout>
      </c:layout>
      <c:spPr>
        <a:ln>
          <a:solidFill>
            <a:sysClr val="windowText" lastClr="000000"/>
          </a:solidFill>
        </a:ln>
      </c:spPr>
      <c:txPr>
        <a:bodyPr/>
        <a:lstStyle/>
        <a:p>
          <a:pPr>
            <a:defRPr sz="600"/>
          </a:pPr>
          <a:endParaRPr lang="en-US"/>
        </a:p>
      </c:txPr>
    </c:legend>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hPercent val="61"/>
      <c:depthPercent val="100"/>
      <c:rAngAx val="1"/>
    </c:view3D>
    <c:floor>
      <c:spPr>
        <a:solidFill>
          <a:srgbClr val="C0C0C0"/>
        </a:solidFill>
        <a:ln w="3175">
          <a:solidFill>
            <a:srgbClr val="000000"/>
          </a:solidFill>
          <a:prstDash val="solid"/>
        </a:ln>
      </c:spPr>
    </c:floor>
    <c:sideWall>
      <c:spPr>
        <a:noFill/>
        <a:ln w="12700">
          <a:solidFill>
            <a:srgbClr val="000000"/>
          </a:solidFill>
          <a:prstDash val="solid"/>
        </a:ln>
      </c:spPr>
    </c:sideWall>
    <c:backWall>
      <c:spPr>
        <a:noFill/>
        <a:ln w="12700">
          <a:solidFill>
            <a:srgbClr val="000000"/>
          </a:solidFill>
          <a:prstDash val="solid"/>
        </a:ln>
      </c:spPr>
    </c:backWall>
    <c:plotArea>
      <c:layout>
        <c:manualLayout>
          <c:layoutTarget val="inner"/>
          <c:xMode val="edge"/>
          <c:yMode val="edge"/>
          <c:x val="0.2033195020746888"/>
          <c:y val="6.5134099616858274E-2"/>
          <c:w val="0.6431535269709544"/>
          <c:h val="0.73180076628352975"/>
        </c:manualLayout>
      </c:layout>
      <c:bar3DChart>
        <c:barDir val="col"/>
        <c:grouping val="clustered"/>
        <c:ser>
          <c:idx val="0"/>
          <c:order val="0"/>
          <c:tx>
            <c:strRef>
              <c:f>Sheet1!$A$2</c:f>
              <c:strCache>
                <c:ptCount val="1"/>
                <c:pt idx="0">
                  <c:v>Part A</c:v>
                </c:pt>
              </c:strCache>
            </c:strRef>
          </c:tx>
          <c:spPr>
            <a:solidFill>
              <a:srgbClr val="99CC00"/>
            </a:solidFill>
            <a:ln w="12712">
              <a:solidFill>
                <a:srgbClr val="000000"/>
              </a:solidFill>
              <a:prstDash val="solid"/>
            </a:ln>
          </c:spPr>
          <c:cat>
            <c:strRef>
              <c:f>Sheet1!$B$1:$E$1</c:f>
              <c:strCache>
                <c:ptCount val="4"/>
                <c:pt idx="0">
                  <c:v>1st Qtr</c:v>
                </c:pt>
                <c:pt idx="1">
                  <c:v>2nd Qtr</c:v>
                </c:pt>
                <c:pt idx="2">
                  <c:v>3rd Qtr</c:v>
                </c:pt>
                <c:pt idx="3">
                  <c:v>4th Qtr</c:v>
                </c:pt>
              </c:strCache>
            </c:strRef>
          </c:cat>
          <c:val>
            <c:numRef>
              <c:f>Sheet1!$B$2:$E$2</c:f>
              <c:numCache>
                <c:formatCode>0.000%</c:formatCode>
                <c:ptCount val="4"/>
                <c:pt idx="0">
                  <c:v>0.93870000000000064</c:v>
                </c:pt>
                <c:pt idx="1">
                  <c:v>0.97760000000000158</c:v>
                </c:pt>
                <c:pt idx="2">
                  <c:v>0.99299999999999999</c:v>
                </c:pt>
                <c:pt idx="3">
                  <c:v>0.99829999999999997</c:v>
                </c:pt>
              </c:numCache>
            </c:numRef>
          </c:val>
        </c:ser>
        <c:ser>
          <c:idx val="1"/>
          <c:order val="1"/>
          <c:tx>
            <c:strRef>
              <c:f>Sheet1!$A$3</c:f>
              <c:strCache>
                <c:ptCount val="1"/>
                <c:pt idx="0">
                  <c:v>Part B</c:v>
                </c:pt>
              </c:strCache>
            </c:strRef>
          </c:tx>
          <c:spPr>
            <a:solidFill>
              <a:srgbClr val="0000FF"/>
            </a:solidFill>
            <a:ln w="12712">
              <a:solidFill>
                <a:srgbClr val="000000"/>
              </a:solidFill>
              <a:prstDash val="solid"/>
            </a:ln>
          </c:spPr>
          <c:cat>
            <c:strRef>
              <c:f>Sheet1!$B$1:$E$1</c:f>
              <c:strCache>
                <c:ptCount val="4"/>
                <c:pt idx="0">
                  <c:v>1st Qtr</c:v>
                </c:pt>
                <c:pt idx="1">
                  <c:v>2nd Qtr</c:v>
                </c:pt>
                <c:pt idx="2">
                  <c:v>3rd Qtr</c:v>
                </c:pt>
                <c:pt idx="3">
                  <c:v>4th Qtr</c:v>
                </c:pt>
              </c:strCache>
            </c:strRef>
          </c:cat>
          <c:val>
            <c:numRef>
              <c:f>Sheet1!$B$3:$E$3</c:f>
              <c:numCache>
                <c:formatCode>0.000%</c:formatCode>
                <c:ptCount val="4"/>
                <c:pt idx="0">
                  <c:v>0.88460000000000005</c:v>
                </c:pt>
                <c:pt idx="1">
                  <c:v>0.98870000000000002</c:v>
                </c:pt>
                <c:pt idx="2">
                  <c:v>0.98670000000000002</c:v>
                </c:pt>
                <c:pt idx="3">
                  <c:v>0.99329999999999996</c:v>
                </c:pt>
              </c:numCache>
            </c:numRef>
          </c:val>
        </c:ser>
        <c:ser>
          <c:idx val="2"/>
          <c:order val="2"/>
          <c:tx>
            <c:strRef>
              <c:f>Sheet1!$A$4</c:f>
              <c:strCache>
                <c:ptCount val="1"/>
                <c:pt idx="0">
                  <c:v>DME</c:v>
                </c:pt>
              </c:strCache>
            </c:strRef>
          </c:tx>
          <c:spPr>
            <a:solidFill>
              <a:srgbClr val="FF0000"/>
            </a:solidFill>
            <a:ln w="12712">
              <a:solidFill>
                <a:srgbClr val="000000"/>
              </a:solidFill>
              <a:prstDash val="solid"/>
            </a:ln>
          </c:spPr>
          <c:cat>
            <c:strRef>
              <c:f>Sheet1!$B$1:$E$1</c:f>
              <c:strCache>
                <c:ptCount val="4"/>
                <c:pt idx="0">
                  <c:v>1st Qtr</c:v>
                </c:pt>
                <c:pt idx="1">
                  <c:v>2nd Qtr</c:v>
                </c:pt>
                <c:pt idx="2">
                  <c:v>3rd Qtr</c:v>
                </c:pt>
                <c:pt idx="3">
                  <c:v>4th Qtr</c:v>
                </c:pt>
              </c:strCache>
            </c:strRef>
          </c:cat>
          <c:val>
            <c:numRef>
              <c:f>Sheet1!$B$4:$E$4</c:f>
              <c:numCache>
                <c:formatCode>0.000%</c:formatCode>
                <c:ptCount val="4"/>
                <c:pt idx="0">
                  <c:v>0.99870000000000003</c:v>
                </c:pt>
                <c:pt idx="1">
                  <c:v>0.99780000000000002</c:v>
                </c:pt>
                <c:pt idx="2">
                  <c:v>0.99880000000000002</c:v>
                </c:pt>
                <c:pt idx="3">
                  <c:v>0.9954999999999995</c:v>
                </c:pt>
              </c:numCache>
            </c:numRef>
          </c:val>
        </c:ser>
        <c:gapDepth val="0"/>
        <c:shape val="box"/>
        <c:axId val="85489152"/>
        <c:axId val="85490688"/>
        <c:axId val="0"/>
      </c:bar3DChart>
      <c:catAx>
        <c:axId val="85489152"/>
        <c:scaling>
          <c:orientation val="minMax"/>
        </c:scaling>
        <c:axPos val="b"/>
        <c:numFmt formatCode="General" sourceLinked="1"/>
        <c:tickLblPos val="low"/>
        <c:spPr>
          <a:ln w="12712">
            <a:solidFill>
              <a:srgbClr val="000000"/>
            </a:solidFill>
            <a:prstDash val="solid"/>
          </a:ln>
        </c:spPr>
        <c:txPr>
          <a:bodyPr rot="0" vert="horz"/>
          <a:lstStyle/>
          <a:p>
            <a:pPr>
              <a:defRPr sz="1001" b="1" i="0" u="none" strike="noStrike" baseline="0">
                <a:solidFill>
                  <a:srgbClr val="000000"/>
                </a:solidFill>
                <a:latin typeface="Arial"/>
                <a:ea typeface="Arial"/>
                <a:cs typeface="Arial"/>
              </a:defRPr>
            </a:pPr>
            <a:endParaRPr lang="en-US"/>
          </a:p>
        </c:txPr>
        <c:crossAx val="85490688"/>
        <c:crosses val="autoZero"/>
        <c:auto val="1"/>
        <c:lblAlgn val="ctr"/>
        <c:lblOffset val="100"/>
        <c:tickLblSkip val="1"/>
        <c:tickMarkSkip val="1"/>
      </c:catAx>
      <c:valAx>
        <c:axId val="85490688"/>
        <c:scaling>
          <c:orientation val="minMax"/>
          <c:max val="1"/>
          <c:min val="0"/>
        </c:scaling>
        <c:axPos val="l"/>
        <c:majorGridlines>
          <c:spPr>
            <a:ln w="12712">
              <a:solidFill>
                <a:srgbClr val="000000"/>
              </a:solidFill>
              <a:prstDash val="solid"/>
            </a:ln>
          </c:spPr>
        </c:majorGridlines>
        <c:title>
          <c:tx>
            <c:rich>
              <a:bodyPr/>
              <a:lstStyle/>
              <a:p>
                <a:pPr>
                  <a:defRPr sz="1001" b="1" i="0" u="none" strike="noStrike" baseline="0">
                    <a:solidFill>
                      <a:srgbClr val="000000"/>
                    </a:solidFill>
                    <a:latin typeface="Arial"/>
                    <a:ea typeface="Arial"/>
                    <a:cs typeface="Arial"/>
                  </a:defRPr>
                </a:pPr>
                <a:r>
                  <a:rPr lang="en-US"/>
                  <a:t>Tmeliness %</a:t>
                </a:r>
              </a:p>
            </c:rich>
          </c:tx>
          <c:layout>
            <c:manualLayout>
              <c:xMode val="edge"/>
              <c:yMode val="edge"/>
              <c:x val="2.6970954356846474E-2"/>
              <c:y val="0.28352490421456211"/>
            </c:manualLayout>
          </c:layout>
          <c:spPr>
            <a:noFill/>
            <a:ln w="25424">
              <a:noFill/>
            </a:ln>
          </c:spPr>
        </c:title>
        <c:numFmt formatCode="0.00%" sourceLinked="0"/>
        <c:tickLblPos val="nextTo"/>
        <c:spPr>
          <a:ln w="12712">
            <a:solidFill>
              <a:srgbClr val="000000"/>
            </a:solidFill>
            <a:prstDash val="solid"/>
          </a:ln>
        </c:spPr>
        <c:txPr>
          <a:bodyPr rot="0" vert="horz"/>
          <a:lstStyle/>
          <a:p>
            <a:pPr>
              <a:defRPr sz="1001" b="1" i="0" u="none" strike="noStrike" baseline="0">
                <a:solidFill>
                  <a:srgbClr val="000000"/>
                </a:solidFill>
                <a:latin typeface="Arial"/>
                <a:ea typeface="Arial"/>
                <a:cs typeface="Arial"/>
              </a:defRPr>
            </a:pPr>
            <a:endParaRPr lang="en-US"/>
          </a:p>
        </c:txPr>
        <c:crossAx val="85489152"/>
        <c:crosses val="autoZero"/>
        <c:crossBetween val="between"/>
      </c:valAx>
      <c:spPr>
        <a:noFill/>
        <a:ln w="25424">
          <a:noFill/>
        </a:ln>
      </c:spPr>
    </c:plotArea>
    <c:legend>
      <c:legendPos val="r"/>
      <c:layout>
        <c:manualLayout>
          <c:xMode val="edge"/>
          <c:yMode val="edge"/>
          <c:x val="0.86929460580912865"/>
          <c:y val="0.37931034482758791"/>
          <c:w val="0.12240663900414959"/>
          <c:h val="0.2452107279693487"/>
        </c:manualLayout>
      </c:layout>
      <c:spPr>
        <a:noFill/>
        <a:ln w="12712">
          <a:solidFill>
            <a:srgbClr val="000000"/>
          </a:solidFill>
          <a:prstDash val="solid"/>
        </a:ln>
      </c:spPr>
      <c:txPr>
        <a:bodyPr/>
        <a:lstStyle/>
        <a:p>
          <a:pPr>
            <a:defRPr sz="921" b="1" i="0" u="none" strike="noStrike" baseline="0">
              <a:solidFill>
                <a:srgbClr val="000000"/>
              </a:solidFill>
              <a:latin typeface="Arial"/>
              <a:ea typeface="Arial"/>
              <a:cs typeface="Arial"/>
            </a:defRPr>
          </a:pPr>
          <a:endParaRPr lang="en-US"/>
        </a:p>
      </c:txPr>
    </c:legend>
    <c:plotVisOnly val="1"/>
    <c:dispBlanksAs val="gap"/>
  </c:chart>
  <c:spPr>
    <a:noFill/>
    <a:ln>
      <a:noFill/>
    </a:ln>
  </c:spPr>
  <c:txPr>
    <a:bodyPr/>
    <a:lstStyle/>
    <a:p>
      <a:pPr>
        <a:defRPr sz="1001" b="1" i="0" u="none" strike="noStrike" baseline="0">
          <a:solidFill>
            <a:srgbClr val="000000"/>
          </a:solidFill>
          <a:latin typeface="Arial"/>
          <a:ea typeface="Arial"/>
          <a:cs typeface="Arial"/>
        </a:defRPr>
      </a:pPr>
      <a:endParaRPr lang="en-US"/>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view3D>
      <c:rotX val="20"/>
      <c:rotY val="330"/>
      <c:perspective val="30"/>
    </c:view3D>
    <c:plotArea>
      <c:layout>
        <c:manualLayout>
          <c:layoutTarget val="inner"/>
          <c:xMode val="edge"/>
          <c:yMode val="edge"/>
          <c:x val="9.0514404262341544E-2"/>
          <c:y val="0.15133949892241091"/>
          <c:w val="0.56460967828123365"/>
          <c:h val="0.69732100215518189"/>
        </c:manualLayout>
      </c:layout>
      <c:pie3DChart>
        <c:varyColors val="1"/>
        <c:ser>
          <c:idx val="0"/>
          <c:order val="0"/>
          <c:spPr>
            <a:ln>
              <a:solidFill>
                <a:schemeClr val="tx1"/>
              </a:solidFill>
            </a:ln>
          </c:spPr>
          <c:explosion val="25"/>
          <c:dPt>
            <c:idx val="0"/>
            <c:explosion val="0"/>
            <c:spPr>
              <a:solidFill>
                <a:srgbClr val="3D3DED"/>
              </a:solidFill>
              <a:ln>
                <a:solidFill>
                  <a:schemeClr val="tx1"/>
                </a:solidFill>
              </a:ln>
            </c:spPr>
          </c:dPt>
          <c:dPt>
            <c:idx val="1"/>
            <c:spPr>
              <a:solidFill>
                <a:srgbClr val="F60000"/>
              </a:solidFill>
              <a:ln>
                <a:solidFill>
                  <a:schemeClr val="tx1"/>
                </a:solidFill>
              </a:ln>
            </c:spPr>
          </c:dPt>
          <c:dPt>
            <c:idx val="2"/>
            <c:spPr>
              <a:solidFill>
                <a:srgbClr val="78E92B"/>
              </a:solidFill>
              <a:ln>
                <a:solidFill>
                  <a:schemeClr val="tx1"/>
                </a:solidFill>
              </a:ln>
            </c:spPr>
          </c:dPt>
          <c:dLbls>
            <c:dLbl>
              <c:idx val="0"/>
              <c:layout>
                <c:manualLayout>
                  <c:x val="3.5311507561379633E-3"/>
                  <c:y val="6.6038314424614834E-3"/>
                </c:manualLayout>
              </c:layout>
              <c:tx>
                <c:rich>
                  <a:bodyPr/>
                  <a:lstStyle/>
                  <a:p>
                    <a:r>
                      <a:rPr lang="en-US"/>
                      <a:t>80.2%</a:t>
                    </a:r>
                  </a:p>
                </c:rich>
              </c:tx>
              <c:showPercent val="1"/>
            </c:dLbl>
            <c:dLbl>
              <c:idx val="1"/>
              <c:layout>
                <c:manualLayout>
                  <c:x val="0"/>
                  <c:y val="3.306398962995203E-2"/>
                </c:manualLayout>
              </c:layout>
              <c:showPercent val="1"/>
            </c:dLbl>
            <c:dLbl>
              <c:idx val="2"/>
              <c:layout>
                <c:manualLayout>
                  <c:x val="1.090767583340476E-2"/>
                  <c:y val="-3.6101813781613645E-2"/>
                </c:manualLayout>
              </c:layout>
              <c:showPercent val="1"/>
            </c:dLbl>
            <c:numFmt formatCode="0.0%" sourceLinked="0"/>
            <c:txPr>
              <a:bodyPr/>
              <a:lstStyle/>
              <a:p>
                <a:pPr>
                  <a:defRPr sz="1000" b="1" i="0" baseline="0"/>
                </a:pPr>
                <a:endParaRPr lang="en-US"/>
              </a:p>
            </c:txPr>
            <c:showPercent val="1"/>
          </c:dLbls>
          <c:cat>
            <c:strRef>
              <c:f>Sheet2!$F$2:$H$2</c:f>
              <c:strCache>
                <c:ptCount val="3"/>
                <c:pt idx="0">
                  <c:v>Unfavorable</c:v>
                </c:pt>
                <c:pt idx="1">
                  <c:v>Partially Favorable</c:v>
                </c:pt>
                <c:pt idx="2">
                  <c:v>Favorable</c:v>
                </c:pt>
              </c:strCache>
            </c:strRef>
          </c:cat>
          <c:val>
            <c:numRef>
              <c:f>Sheet2!$F$3:$H$3</c:f>
              <c:numCache>
                <c:formatCode>#,##0</c:formatCode>
                <c:ptCount val="3"/>
                <c:pt idx="0">
                  <c:v>44396</c:v>
                </c:pt>
                <c:pt idx="1">
                  <c:v>2025</c:v>
                </c:pt>
                <c:pt idx="2">
                  <c:v>8893</c:v>
                </c:pt>
              </c:numCache>
            </c:numRef>
          </c:val>
        </c:ser>
      </c:pie3DChart>
    </c:plotArea>
    <c:legend>
      <c:legendPos val="r"/>
      <c:layout>
        <c:manualLayout>
          <c:xMode val="edge"/>
          <c:yMode val="edge"/>
          <c:x val="0.66401861461304179"/>
          <c:y val="0.22691896709445525"/>
          <c:w val="0.23040941738570139"/>
          <c:h val="0.19185547007900206"/>
        </c:manualLayout>
      </c:layout>
      <c:spPr>
        <a:ln>
          <a:solidFill>
            <a:sysClr val="windowText" lastClr="000000"/>
          </a:solidFill>
        </a:ln>
      </c:spPr>
      <c:txPr>
        <a:bodyPr/>
        <a:lstStyle/>
        <a:p>
          <a:pPr>
            <a:defRPr sz="600" baseline="0"/>
          </a:pPr>
          <a:endParaRPr lang="en-US"/>
        </a:p>
      </c:txPr>
    </c:legend>
    <c:plotVisOnly val="1"/>
  </c:chart>
  <c:spPr>
    <a:ln w="0">
      <a:solidFill>
        <a:schemeClr val="bg1"/>
      </a:solidFill>
    </a:ln>
    <a:effectLst/>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view3D>
      <c:rotX val="20"/>
      <c:perspective val="30"/>
    </c:view3D>
    <c:plotArea>
      <c:layout>
        <c:manualLayout>
          <c:layoutTarget val="inner"/>
          <c:xMode val="edge"/>
          <c:yMode val="edge"/>
          <c:x val="9.2799312698951794E-2"/>
          <c:y val="0.1424996208497479"/>
          <c:w val="0.5392933927510235"/>
          <c:h val="0.71500071581961344"/>
        </c:manualLayout>
      </c:layout>
      <c:pie3DChart>
        <c:varyColors val="1"/>
        <c:ser>
          <c:idx val="0"/>
          <c:order val="0"/>
          <c:spPr>
            <a:ln>
              <a:solidFill>
                <a:sysClr val="windowText" lastClr="000000"/>
              </a:solidFill>
            </a:ln>
          </c:spPr>
          <c:explosion val="4"/>
          <c:dPt>
            <c:idx val="0"/>
            <c:explosion val="10"/>
            <c:spPr>
              <a:solidFill>
                <a:srgbClr val="3D3DED"/>
              </a:solidFill>
              <a:ln>
                <a:solidFill>
                  <a:sysClr val="windowText" lastClr="000000"/>
                </a:solidFill>
              </a:ln>
            </c:spPr>
          </c:dPt>
          <c:dPt>
            <c:idx val="1"/>
            <c:spPr>
              <a:solidFill>
                <a:srgbClr val="F60000"/>
              </a:solidFill>
              <a:ln>
                <a:solidFill>
                  <a:sysClr val="windowText" lastClr="000000"/>
                </a:solidFill>
              </a:ln>
            </c:spPr>
          </c:dPt>
          <c:dPt>
            <c:idx val="2"/>
            <c:spPr>
              <a:solidFill>
                <a:srgbClr val="78E92B"/>
              </a:solidFill>
              <a:ln>
                <a:solidFill>
                  <a:sysClr val="windowText" lastClr="000000"/>
                </a:solidFill>
              </a:ln>
            </c:spPr>
          </c:dPt>
          <c:dLbls>
            <c:dLbl>
              <c:idx val="0"/>
              <c:layout>
                <c:manualLayout>
                  <c:x val="4.3469496493650304E-2"/>
                  <c:y val="9.2128564669215797E-3"/>
                </c:manualLayout>
              </c:layout>
              <c:showPercent val="1"/>
            </c:dLbl>
            <c:dLbl>
              <c:idx val="1"/>
              <c:layout>
                <c:manualLayout>
                  <c:x val="-2.9913472012358541E-2"/>
                  <c:y val="-0.10272132384227223"/>
                </c:manualLayout>
              </c:layout>
              <c:showPercent val="1"/>
            </c:dLbl>
            <c:dLbl>
              <c:idx val="2"/>
              <c:layout>
                <c:manualLayout>
                  <c:x val="2.0405383004957801E-2"/>
                  <c:y val="-5.3463802061735115E-2"/>
                </c:manualLayout>
              </c:layout>
              <c:showPercent val="1"/>
            </c:dLbl>
            <c:numFmt formatCode="0.0%" sourceLinked="0"/>
            <c:txPr>
              <a:bodyPr/>
              <a:lstStyle/>
              <a:p>
                <a:pPr>
                  <a:defRPr b="1" i="0" baseline="0"/>
                </a:pPr>
                <a:endParaRPr lang="en-US"/>
              </a:p>
            </c:txPr>
            <c:showPercent val="1"/>
          </c:dLbls>
          <c:cat>
            <c:strRef>
              <c:f>Sheet2!$F$9:$H$9</c:f>
              <c:strCache>
                <c:ptCount val="3"/>
                <c:pt idx="0">
                  <c:v>Unfavorable</c:v>
                </c:pt>
                <c:pt idx="1">
                  <c:v>Partially Favorable</c:v>
                </c:pt>
                <c:pt idx="2">
                  <c:v>Favorable</c:v>
                </c:pt>
              </c:strCache>
            </c:strRef>
          </c:cat>
          <c:val>
            <c:numRef>
              <c:f>Sheet2!$F$10:$H$10</c:f>
              <c:numCache>
                <c:formatCode>#,##0</c:formatCode>
                <c:ptCount val="3"/>
                <c:pt idx="0">
                  <c:v>187097</c:v>
                </c:pt>
                <c:pt idx="1">
                  <c:v>11372</c:v>
                </c:pt>
                <c:pt idx="2">
                  <c:v>63001</c:v>
                </c:pt>
              </c:numCache>
            </c:numRef>
          </c:val>
        </c:ser>
      </c:pie3DChart>
    </c:plotArea>
    <c:legend>
      <c:legendPos val="r"/>
      <c:layout>
        <c:manualLayout>
          <c:xMode val="edge"/>
          <c:yMode val="edge"/>
          <c:x val="0.69788145250965095"/>
          <c:y val="0.28933037039918141"/>
          <c:w val="0.24920243037754425"/>
          <c:h val="0.18731052254831781"/>
        </c:manualLayout>
      </c:layout>
      <c:spPr>
        <a:ln>
          <a:solidFill>
            <a:sysClr val="windowText" lastClr="000000"/>
          </a:solidFill>
        </a:ln>
      </c:spPr>
      <c:txPr>
        <a:bodyPr/>
        <a:lstStyle/>
        <a:p>
          <a:pPr>
            <a:defRPr sz="600" baseline="0"/>
          </a:pPr>
          <a:endParaRPr lang="en-US"/>
        </a:p>
      </c:txPr>
    </c:legend>
    <c:plotVisOnly val="1"/>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view3D>
      <c:rotX val="20"/>
      <c:rotY val="300"/>
      <c:perspective val="30"/>
    </c:view3D>
    <c:plotArea>
      <c:layout/>
      <c:pie3DChart>
        <c:varyColors val="1"/>
        <c:ser>
          <c:idx val="0"/>
          <c:order val="0"/>
          <c:spPr>
            <a:ln>
              <a:solidFill>
                <a:sysClr val="windowText" lastClr="000000"/>
              </a:solidFill>
            </a:ln>
          </c:spPr>
          <c:explosion val="25"/>
          <c:dPt>
            <c:idx val="0"/>
            <c:explosion val="0"/>
            <c:spPr>
              <a:solidFill>
                <a:srgbClr val="3D3DED"/>
              </a:solidFill>
              <a:ln>
                <a:solidFill>
                  <a:sysClr val="windowText" lastClr="000000"/>
                </a:solidFill>
              </a:ln>
            </c:spPr>
          </c:dPt>
          <c:dPt>
            <c:idx val="1"/>
            <c:spPr>
              <a:solidFill>
                <a:srgbClr val="F60000"/>
              </a:solidFill>
              <a:ln>
                <a:solidFill>
                  <a:sysClr val="windowText" lastClr="000000"/>
                </a:solidFill>
              </a:ln>
            </c:spPr>
          </c:dPt>
          <c:dPt>
            <c:idx val="2"/>
            <c:spPr>
              <a:solidFill>
                <a:srgbClr val="78E92B"/>
              </a:solidFill>
              <a:ln>
                <a:solidFill>
                  <a:sysClr val="windowText" lastClr="000000"/>
                </a:solidFill>
              </a:ln>
            </c:spPr>
          </c:dPt>
          <c:dLbls>
            <c:dLbl>
              <c:idx val="0"/>
              <c:layout>
                <c:manualLayout>
                  <c:x val="-1.8860265701109605E-2"/>
                  <c:y val="0.12516418351883959"/>
                </c:manualLayout>
              </c:layout>
              <c:showPercent val="1"/>
            </c:dLbl>
            <c:dLbl>
              <c:idx val="1"/>
              <c:layout>
                <c:manualLayout>
                  <c:x val="0"/>
                  <c:y val="7.7628837122508093E-2"/>
                </c:manualLayout>
              </c:layout>
              <c:tx>
                <c:rich>
                  <a:bodyPr/>
                  <a:lstStyle/>
                  <a:p>
                    <a:r>
                      <a:rPr lang="en-US"/>
                      <a:t>1.5%</a:t>
                    </a:r>
                  </a:p>
                </c:rich>
              </c:tx>
              <c:showPercent val="1"/>
            </c:dLbl>
            <c:dLbl>
              <c:idx val="2"/>
              <c:layout>
                <c:manualLayout>
                  <c:x val="1.3130575646261673E-2"/>
                  <c:y val="-9.2015240809126653E-2"/>
                </c:manualLayout>
              </c:layout>
              <c:showPercent val="1"/>
            </c:dLbl>
            <c:numFmt formatCode="0.0%" sourceLinked="0"/>
            <c:txPr>
              <a:bodyPr/>
              <a:lstStyle/>
              <a:p>
                <a:pPr>
                  <a:defRPr b="1" i="0" baseline="0"/>
                </a:pPr>
                <a:endParaRPr lang="en-US"/>
              </a:p>
            </c:txPr>
            <c:showPercent val="1"/>
          </c:dLbls>
          <c:cat>
            <c:strRef>
              <c:f>Sheet2!$F$15:$H$15</c:f>
              <c:strCache>
                <c:ptCount val="3"/>
                <c:pt idx="0">
                  <c:v>Unfavorable</c:v>
                </c:pt>
                <c:pt idx="1">
                  <c:v>Partially Favorable</c:v>
                </c:pt>
                <c:pt idx="2">
                  <c:v>Favorable</c:v>
                </c:pt>
              </c:strCache>
            </c:strRef>
          </c:cat>
          <c:val>
            <c:numRef>
              <c:f>Sheet2!$F$16:$H$16</c:f>
              <c:numCache>
                <c:formatCode>#,##0</c:formatCode>
                <c:ptCount val="3"/>
                <c:pt idx="0">
                  <c:v>77002</c:v>
                </c:pt>
                <c:pt idx="1">
                  <c:v>1363</c:v>
                </c:pt>
                <c:pt idx="2">
                  <c:v>8864</c:v>
                </c:pt>
              </c:numCache>
            </c:numRef>
          </c:val>
        </c:ser>
      </c:pie3DChart>
    </c:plotArea>
    <c:legend>
      <c:legendPos val="r"/>
      <c:layout>
        <c:manualLayout>
          <c:xMode val="edge"/>
          <c:yMode val="edge"/>
          <c:x val="0.63881968688561164"/>
          <c:y val="0.27908115072251666"/>
          <c:w val="0.23765419690516826"/>
          <c:h val="0.14383813183029426"/>
        </c:manualLayout>
      </c:layout>
      <c:spPr>
        <a:ln>
          <a:solidFill>
            <a:sysClr val="windowText" lastClr="000000"/>
          </a:solidFill>
        </a:ln>
      </c:spPr>
      <c:txPr>
        <a:bodyPr/>
        <a:lstStyle/>
        <a:p>
          <a:pPr>
            <a:defRPr sz="600" baseline="0"/>
          </a:pPr>
          <a:endParaRPr lang="en-US"/>
        </a:p>
      </c:txPr>
    </c:legend>
    <c:plotVisOnly val="1"/>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chart>
    <c:view3D>
      <c:rotX val="10"/>
      <c:rotY val="15"/>
      <c:depthPercent val="100"/>
      <c:rAngAx val="1"/>
    </c:view3D>
    <c:plotArea>
      <c:layout/>
      <c:bar3DChart>
        <c:barDir val="col"/>
        <c:grouping val="clustered"/>
        <c:ser>
          <c:idx val="0"/>
          <c:order val="0"/>
          <c:tx>
            <c:strRef>
              <c:f>Sheet1!$G$2</c:f>
              <c:strCache>
                <c:ptCount val="1"/>
                <c:pt idx="0">
                  <c:v>Part A Timeliness</c:v>
                </c:pt>
              </c:strCache>
            </c:strRef>
          </c:tx>
          <c:spPr>
            <a:solidFill>
              <a:srgbClr val="78E92B"/>
            </a:solidFill>
            <a:ln>
              <a:solidFill>
                <a:sysClr val="windowText" lastClr="000000"/>
              </a:solidFill>
            </a:ln>
          </c:spPr>
          <c:cat>
            <c:strRef>
              <c:f>Sheet1!$H$1:$K$1</c:f>
              <c:strCache>
                <c:ptCount val="4"/>
                <c:pt idx="0">
                  <c:v>1st Qtr</c:v>
                </c:pt>
                <c:pt idx="1">
                  <c:v>2nd Qtr</c:v>
                </c:pt>
                <c:pt idx="2">
                  <c:v>3rd Qtr</c:v>
                </c:pt>
                <c:pt idx="3">
                  <c:v>4th Qtr</c:v>
                </c:pt>
              </c:strCache>
            </c:strRef>
          </c:cat>
          <c:val>
            <c:numRef>
              <c:f>Sheet1!$H$2:$K$2</c:f>
              <c:numCache>
                <c:formatCode>0.0%</c:formatCode>
                <c:ptCount val="4"/>
                <c:pt idx="0">
                  <c:v>0.97448888888888874</c:v>
                </c:pt>
                <c:pt idx="1">
                  <c:v>1</c:v>
                </c:pt>
                <c:pt idx="2">
                  <c:v>1</c:v>
                </c:pt>
                <c:pt idx="3">
                  <c:v>1</c:v>
                </c:pt>
              </c:numCache>
            </c:numRef>
          </c:val>
        </c:ser>
        <c:ser>
          <c:idx val="1"/>
          <c:order val="1"/>
          <c:tx>
            <c:strRef>
              <c:f>Sheet1!$G$3</c:f>
              <c:strCache>
                <c:ptCount val="1"/>
                <c:pt idx="0">
                  <c:v>Part B Timeliness</c:v>
                </c:pt>
              </c:strCache>
            </c:strRef>
          </c:tx>
          <c:spPr>
            <a:solidFill>
              <a:srgbClr val="3D3DED"/>
            </a:solidFill>
            <a:ln>
              <a:solidFill>
                <a:sysClr val="windowText" lastClr="000000"/>
              </a:solidFill>
            </a:ln>
          </c:spPr>
          <c:cat>
            <c:strRef>
              <c:f>Sheet1!$H$1:$K$1</c:f>
              <c:strCache>
                <c:ptCount val="4"/>
                <c:pt idx="0">
                  <c:v>1st Qtr</c:v>
                </c:pt>
                <c:pt idx="1">
                  <c:v>2nd Qtr</c:v>
                </c:pt>
                <c:pt idx="2">
                  <c:v>3rd Qtr</c:v>
                </c:pt>
                <c:pt idx="3">
                  <c:v>4th Qtr</c:v>
                </c:pt>
              </c:strCache>
            </c:strRef>
          </c:cat>
          <c:val>
            <c:numRef>
              <c:f>Sheet1!$H$3:$K$3</c:f>
              <c:numCache>
                <c:formatCode>0.0%</c:formatCode>
                <c:ptCount val="4"/>
                <c:pt idx="0">
                  <c:v>0.9996333333333336</c:v>
                </c:pt>
                <c:pt idx="1">
                  <c:v>0.99981666666666658</c:v>
                </c:pt>
                <c:pt idx="2">
                  <c:v>0.99986666666666657</c:v>
                </c:pt>
                <c:pt idx="3">
                  <c:v>0.99983333333333335</c:v>
                </c:pt>
              </c:numCache>
            </c:numRef>
          </c:val>
        </c:ser>
        <c:ser>
          <c:idx val="2"/>
          <c:order val="2"/>
          <c:tx>
            <c:strRef>
              <c:f>Sheet1!$G$4</c:f>
              <c:strCache>
                <c:ptCount val="1"/>
                <c:pt idx="0">
                  <c:v>DME Timeliness</c:v>
                </c:pt>
              </c:strCache>
            </c:strRef>
          </c:tx>
          <c:spPr>
            <a:solidFill>
              <a:srgbClr val="F60000"/>
            </a:solidFill>
            <a:ln>
              <a:solidFill>
                <a:schemeClr val="tx1"/>
              </a:solidFill>
            </a:ln>
          </c:spPr>
          <c:cat>
            <c:strRef>
              <c:f>Sheet1!$H$1:$K$1</c:f>
              <c:strCache>
                <c:ptCount val="4"/>
                <c:pt idx="0">
                  <c:v>1st Qtr</c:v>
                </c:pt>
                <c:pt idx="1">
                  <c:v>2nd Qtr</c:v>
                </c:pt>
                <c:pt idx="2">
                  <c:v>3rd Qtr</c:v>
                </c:pt>
                <c:pt idx="3">
                  <c:v>4th Qtr</c:v>
                </c:pt>
              </c:strCache>
            </c:strRef>
          </c:cat>
          <c:val>
            <c:numRef>
              <c:f>Sheet1!$H$4:$K$4</c:f>
              <c:numCache>
                <c:formatCode>0.0%</c:formatCode>
                <c:ptCount val="4"/>
                <c:pt idx="0">
                  <c:v>0.99576666666666658</c:v>
                </c:pt>
                <c:pt idx="1">
                  <c:v>0.98980000000000012</c:v>
                </c:pt>
                <c:pt idx="2">
                  <c:v>0.87143333333333362</c:v>
                </c:pt>
                <c:pt idx="3">
                  <c:v>0.99456666666666516</c:v>
                </c:pt>
              </c:numCache>
            </c:numRef>
          </c:val>
        </c:ser>
        <c:shape val="box"/>
        <c:axId val="85111936"/>
        <c:axId val="85113472"/>
        <c:axId val="0"/>
      </c:bar3DChart>
      <c:catAx>
        <c:axId val="85111936"/>
        <c:scaling>
          <c:orientation val="minMax"/>
        </c:scaling>
        <c:axPos val="b"/>
        <c:tickLblPos val="nextTo"/>
        <c:txPr>
          <a:bodyPr/>
          <a:lstStyle/>
          <a:p>
            <a:pPr>
              <a:defRPr b="1" i="0" baseline="0"/>
            </a:pPr>
            <a:endParaRPr lang="en-US"/>
          </a:p>
        </c:txPr>
        <c:crossAx val="85113472"/>
        <c:crosses val="autoZero"/>
        <c:auto val="1"/>
        <c:lblAlgn val="ctr"/>
        <c:lblOffset val="100"/>
      </c:catAx>
      <c:valAx>
        <c:axId val="85113472"/>
        <c:scaling>
          <c:orientation val="minMax"/>
          <c:max val="1"/>
          <c:min val="0"/>
        </c:scaling>
        <c:axPos val="l"/>
        <c:majorGridlines/>
        <c:numFmt formatCode="0.0%" sourceLinked="1"/>
        <c:tickLblPos val="nextTo"/>
        <c:txPr>
          <a:bodyPr/>
          <a:lstStyle/>
          <a:p>
            <a:pPr>
              <a:defRPr b="1" i="0" baseline="0"/>
            </a:pPr>
            <a:endParaRPr lang="en-US"/>
          </a:p>
        </c:txPr>
        <c:crossAx val="85111936"/>
        <c:crosses val="autoZero"/>
        <c:crossBetween val="between"/>
        <c:majorUnit val="0.1"/>
      </c:valAx>
    </c:plotArea>
    <c:legend>
      <c:legendPos val="r"/>
      <c:layout>
        <c:manualLayout>
          <c:xMode val="edge"/>
          <c:yMode val="edge"/>
          <c:x val="0.79216640419947504"/>
          <c:y val="0.40932889249786025"/>
          <c:w val="0.18576762904636948"/>
          <c:h val="0.18648902037383741"/>
        </c:manualLayout>
      </c:layout>
      <c:spPr>
        <a:ln>
          <a:solidFill>
            <a:schemeClr val="tx1"/>
          </a:solidFill>
        </a:ln>
      </c:spPr>
      <c:txPr>
        <a:bodyPr/>
        <a:lstStyle/>
        <a:p>
          <a:pPr>
            <a:defRPr sz="900" b="1" baseline="0"/>
          </a:pPr>
          <a:endParaRPr lang="en-US"/>
        </a:p>
      </c:txPr>
    </c:legend>
    <c:plotVisOnly val="1"/>
  </c:chart>
  <c:spPr>
    <a:noFill/>
    <a:ln>
      <a:solidFill>
        <a:sysClr val="windowText" lastClr="000000"/>
      </a:solid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A0CC6-10CD-4F29-A855-4C274F1DA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1194</Words>
  <Characters>6807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Fact Sheet</vt:lpstr>
    </vt:vector>
  </TitlesOfParts>
  <Company>CMS</Company>
  <LinksUpToDate>false</LinksUpToDate>
  <CharactersWithSpaces>7986</CharactersWithSpaces>
  <SharedDoc>false</SharedDoc>
  <HLinks>
    <vt:vector size="24" baseType="variant">
      <vt:variant>
        <vt:i4>6881301</vt:i4>
      </vt:variant>
      <vt:variant>
        <vt:i4>9</vt:i4>
      </vt:variant>
      <vt:variant>
        <vt:i4>0</vt:i4>
      </vt:variant>
      <vt:variant>
        <vt:i4>5</vt:i4>
      </vt:variant>
      <vt:variant>
        <vt:lpwstr>http://www.cms.hhs.gov/OrgMedFFSAppeals/03_ReconsiderationbyaQualifiedIndependentContractor.asp</vt:lpwstr>
      </vt:variant>
      <vt:variant>
        <vt:lpwstr>TopOfPage</vt:lpwstr>
      </vt:variant>
      <vt:variant>
        <vt:i4>6946828</vt:i4>
      </vt:variant>
      <vt:variant>
        <vt:i4>6</vt:i4>
      </vt:variant>
      <vt:variant>
        <vt:i4>0</vt:i4>
      </vt:variant>
      <vt:variant>
        <vt:i4>5</vt:i4>
      </vt:variant>
      <vt:variant>
        <vt:lpwstr>http://www.cms.hhs.gov/OrgMedFFSAppeals/02_RedeterminationbyaMedicareContractor.asp</vt:lpwstr>
      </vt:variant>
      <vt:variant>
        <vt:lpwstr>TopOfPage</vt:lpwstr>
      </vt:variant>
      <vt:variant>
        <vt:i4>3145848</vt:i4>
      </vt:variant>
      <vt:variant>
        <vt:i4>3</vt:i4>
      </vt:variant>
      <vt:variant>
        <vt:i4>0</vt:i4>
      </vt:variant>
      <vt:variant>
        <vt:i4>5</vt:i4>
      </vt:variant>
      <vt:variant>
        <vt:lpwstr>http://www.cms.hhs.gov/OrgMedFFSAppeals</vt:lpwstr>
      </vt:variant>
      <vt:variant>
        <vt:lpwstr/>
      </vt:variant>
      <vt:variant>
        <vt:i4>6029339</vt:i4>
      </vt:variant>
      <vt:variant>
        <vt:i4>0</vt:i4>
      </vt:variant>
      <vt:variant>
        <vt:i4>0</vt:i4>
      </vt:variant>
      <vt:variant>
        <vt:i4>5</vt:i4>
      </vt:variant>
      <vt:variant>
        <vt:lpwstr>http://www.cms.hhs.gov/MedicareContractingReform/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 Sheet</dc:title>
  <dc:subject/>
  <dc:creator>CMS</dc:creator>
  <cp:keywords/>
  <dc:description/>
  <cp:lastModifiedBy>AMP</cp:lastModifiedBy>
  <cp:revision>4</cp:revision>
  <cp:lastPrinted>2010-04-22T19:44:00Z</cp:lastPrinted>
  <dcterms:created xsi:type="dcterms:W3CDTF">2010-05-20T18:30:00Z</dcterms:created>
  <dcterms:modified xsi:type="dcterms:W3CDTF">2010-05-20T18:36:00Z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-546052610</vt:i4>
  </property>
  <property fmtid="{D5CDD505-2E9C-101B-9397-08002B2CF9AE}" pid="3" name="_NewReviewCycle">
    <vt:lpwstr/>
  </property>
  <property fmtid="{D5CDD505-2E9C-101B-9397-08002B2CF9AE}" pid="4" name="_EmailSubject">
    <vt:lpwstr>Fact Sheets</vt:lpwstr>
  </property>
  <property fmtid="{D5CDD505-2E9C-101B-9397-08002B2CF9AE}" pid="5" name="_AuthorEmail">
    <vt:lpwstr>Aaron.Pleines@cms.hhs.gov</vt:lpwstr>
  </property>
  <property fmtid="{D5CDD505-2E9C-101B-9397-08002B2CF9AE}" pid="6" name="_AuthorEmailDisplayName">
    <vt:lpwstr>Pleines, Aaron M. (CMS/CPC)</vt:lpwstr>
  </property>
  <property fmtid="{D5CDD505-2E9C-101B-9397-08002B2CF9AE}" pid="7" name="_PreviousAdHocReviewCycleID">
    <vt:i4>-546052610</vt:i4>
  </property>
</Properties>
</file>