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4CDB" w14:textId="424C64E4" w:rsidR="00923315" w:rsidRDefault="00AD0E18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77777777" w:rsidR="00242E0A" w:rsidRPr="0058658C" w:rsidRDefault="00242E0A" w:rsidP="008E3032">
      <w:pPr>
        <w:rPr>
          <w:rFonts w:ascii="Arial" w:hAnsi="Arial"/>
          <w:b/>
          <w:color w:val="548DD4"/>
        </w:rPr>
      </w:pPr>
      <w:r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D84E03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312E5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6FCDB219" w:rsidR="00417332" w:rsidRPr="00751E35" w:rsidRDefault="00C718E6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>
        <w:rPr>
          <w:rFonts w:ascii="Arial" w:hAnsi="Arial"/>
          <w:sz w:val="20"/>
          <w:szCs w:val="20"/>
        </w:rPr>
        <w:t>Coverage Start Date</w:t>
      </w:r>
      <w:r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210E1C29" w:rsidR="00BB52D5" w:rsidRDefault="00D06134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38329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4F082A06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7007F9DC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77777777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5F392" w14:textId="77777777" w:rsidR="008A7DB7" w:rsidRDefault="008A7DB7" w:rsidP="00D1688E">
      <w:r>
        <w:separator/>
      </w:r>
    </w:p>
  </w:endnote>
  <w:endnote w:type="continuationSeparator" w:id="0">
    <w:p w14:paraId="0B3FC234" w14:textId="77777777" w:rsidR="008A7DB7" w:rsidRDefault="008A7DB7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A0EC" w14:textId="77777777" w:rsidR="008A7DB7" w:rsidRDefault="008A7DB7" w:rsidP="00D1688E">
      <w:r>
        <w:separator/>
      </w:r>
    </w:p>
  </w:footnote>
  <w:footnote w:type="continuationSeparator" w:id="0">
    <w:p w14:paraId="3AE3020B" w14:textId="77777777" w:rsidR="008A7DB7" w:rsidRDefault="008A7DB7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62977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539427">
    <w:abstractNumId w:val="0"/>
  </w:num>
  <w:num w:numId="3" w16cid:durableId="583101685">
    <w:abstractNumId w:val="1"/>
  </w:num>
  <w:num w:numId="4" w16cid:durableId="89523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13422"/>
    <w:rsid w:val="0004076C"/>
    <w:rsid w:val="000609D5"/>
    <w:rsid w:val="00061498"/>
    <w:rsid w:val="00063E98"/>
    <w:rsid w:val="00076719"/>
    <w:rsid w:val="0008221B"/>
    <w:rsid w:val="000833B0"/>
    <w:rsid w:val="00090089"/>
    <w:rsid w:val="00092EE3"/>
    <w:rsid w:val="00094F11"/>
    <w:rsid w:val="00096BAB"/>
    <w:rsid w:val="000B4B9F"/>
    <w:rsid w:val="001007A1"/>
    <w:rsid w:val="001109CD"/>
    <w:rsid w:val="00160F43"/>
    <w:rsid w:val="00165C07"/>
    <w:rsid w:val="00177EE5"/>
    <w:rsid w:val="001837D3"/>
    <w:rsid w:val="001A06F4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43CBA"/>
    <w:rsid w:val="0025025A"/>
    <w:rsid w:val="00272CA9"/>
    <w:rsid w:val="00277F22"/>
    <w:rsid w:val="00284E6E"/>
    <w:rsid w:val="00291188"/>
    <w:rsid w:val="002935A2"/>
    <w:rsid w:val="002B2232"/>
    <w:rsid w:val="002B5066"/>
    <w:rsid w:val="002C2DE2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3787"/>
    <w:rsid w:val="00395047"/>
    <w:rsid w:val="0039580C"/>
    <w:rsid w:val="00396C03"/>
    <w:rsid w:val="003A33AB"/>
    <w:rsid w:val="003B5C36"/>
    <w:rsid w:val="003B6253"/>
    <w:rsid w:val="003C6E6E"/>
    <w:rsid w:val="003D2061"/>
    <w:rsid w:val="003E27AD"/>
    <w:rsid w:val="00405356"/>
    <w:rsid w:val="00417332"/>
    <w:rsid w:val="0042746B"/>
    <w:rsid w:val="00463A63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060CC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E7EA1"/>
    <w:rsid w:val="005F39B3"/>
    <w:rsid w:val="00602BA7"/>
    <w:rsid w:val="006156DD"/>
    <w:rsid w:val="0062241B"/>
    <w:rsid w:val="00667594"/>
    <w:rsid w:val="00673357"/>
    <w:rsid w:val="00693AE4"/>
    <w:rsid w:val="006A2354"/>
    <w:rsid w:val="006B079C"/>
    <w:rsid w:val="006E4424"/>
    <w:rsid w:val="006F41A2"/>
    <w:rsid w:val="006F470A"/>
    <w:rsid w:val="00701B36"/>
    <w:rsid w:val="00702E4B"/>
    <w:rsid w:val="007035D3"/>
    <w:rsid w:val="00707A85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E1F38"/>
    <w:rsid w:val="007F7198"/>
    <w:rsid w:val="00804A47"/>
    <w:rsid w:val="008058CF"/>
    <w:rsid w:val="00815CA4"/>
    <w:rsid w:val="008243B3"/>
    <w:rsid w:val="00835F4D"/>
    <w:rsid w:val="00852005"/>
    <w:rsid w:val="00867834"/>
    <w:rsid w:val="00871BBD"/>
    <w:rsid w:val="00872A4E"/>
    <w:rsid w:val="0087486C"/>
    <w:rsid w:val="00876BEA"/>
    <w:rsid w:val="0088769F"/>
    <w:rsid w:val="008904E8"/>
    <w:rsid w:val="00897334"/>
    <w:rsid w:val="008A7DB7"/>
    <w:rsid w:val="008B507C"/>
    <w:rsid w:val="008D4190"/>
    <w:rsid w:val="008D65E3"/>
    <w:rsid w:val="008D7543"/>
    <w:rsid w:val="008E06A8"/>
    <w:rsid w:val="008E3032"/>
    <w:rsid w:val="008F2C45"/>
    <w:rsid w:val="008F57F2"/>
    <w:rsid w:val="00900950"/>
    <w:rsid w:val="00901A13"/>
    <w:rsid w:val="00901EDB"/>
    <w:rsid w:val="00904CC4"/>
    <w:rsid w:val="0090581E"/>
    <w:rsid w:val="00906F64"/>
    <w:rsid w:val="009230A8"/>
    <w:rsid w:val="00923315"/>
    <w:rsid w:val="00932EAC"/>
    <w:rsid w:val="009541B4"/>
    <w:rsid w:val="00976A83"/>
    <w:rsid w:val="009874B3"/>
    <w:rsid w:val="009A3C6D"/>
    <w:rsid w:val="009C4F35"/>
    <w:rsid w:val="009D0300"/>
    <w:rsid w:val="009D6A79"/>
    <w:rsid w:val="009E0269"/>
    <w:rsid w:val="00A20E14"/>
    <w:rsid w:val="00A23DFD"/>
    <w:rsid w:val="00A30E3F"/>
    <w:rsid w:val="00A3433C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A038D"/>
    <w:rsid w:val="00AA7FE8"/>
    <w:rsid w:val="00AD0E18"/>
    <w:rsid w:val="00AD59AA"/>
    <w:rsid w:val="00AE440F"/>
    <w:rsid w:val="00AF2071"/>
    <w:rsid w:val="00AF6DC4"/>
    <w:rsid w:val="00B2695A"/>
    <w:rsid w:val="00B27F7F"/>
    <w:rsid w:val="00B37854"/>
    <w:rsid w:val="00B41656"/>
    <w:rsid w:val="00B439B3"/>
    <w:rsid w:val="00B5358F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18E6"/>
    <w:rsid w:val="00C759AD"/>
    <w:rsid w:val="00C8099F"/>
    <w:rsid w:val="00C86FBF"/>
    <w:rsid w:val="00C87C34"/>
    <w:rsid w:val="00C87C61"/>
    <w:rsid w:val="00C939CC"/>
    <w:rsid w:val="00CA3FD3"/>
    <w:rsid w:val="00CB664E"/>
    <w:rsid w:val="00CB7E05"/>
    <w:rsid w:val="00CD3FB8"/>
    <w:rsid w:val="00CE7C02"/>
    <w:rsid w:val="00CF553C"/>
    <w:rsid w:val="00D06134"/>
    <w:rsid w:val="00D148D6"/>
    <w:rsid w:val="00D1688E"/>
    <w:rsid w:val="00D264F0"/>
    <w:rsid w:val="00D50DFB"/>
    <w:rsid w:val="00D63256"/>
    <w:rsid w:val="00D646C4"/>
    <w:rsid w:val="00D80338"/>
    <w:rsid w:val="00D91CA6"/>
    <w:rsid w:val="00DD3907"/>
    <w:rsid w:val="00DE24A2"/>
    <w:rsid w:val="00E018A0"/>
    <w:rsid w:val="00E305F4"/>
    <w:rsid w:val="00E37D06"/>
    <w:rsid w:val="00E57D66"/>
    <w:rsid w:val="00E7577B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94C65"/>
    <w:rsid w:val="00FA02EA"/>
    <w:rsid w:val="00FC04EB"/>
    <w:rsid w:val="00FD0CCA"/>
    <w:rsid w:val="00FD37E8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  <w:style w:type="character" w:styleId="Hyperlink">
    <w:name w:val="Hyperlink"/>
    <w:uiPriority w:val="99"/>
    <w:unhideWhenUsed/>
    <w:rsid w:val="00AA03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5. No Further Comments/Changes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MMCO Internal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20152-0D4C-4B31-B297-0BC14814E72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5323BBA6-DF86-44A4-832D-32E1676DB0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C800B0-F4B3-48E7-B895-63B99646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684CC9-798C-4416-8F1A-569632DC965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1997</Characters>
  <Application>Microsoft Office Word</Application>
  <DocSecurity>0</DocSecurity>
  <Lines>52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Participant ID Card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Participant ID Card</dc:title>
  <dc:subject>NY FIDA-IDD CY 2024 MMP Model Participant ID Card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Participant ID Card</cp:keywords>
  <cp:lastModifiedBy>MMCO</cp:lastModifiedBy>
  <cp:revision>2</cp:revision>
  <dcterms:created xsi:type="dcterms:W3CDTF">2024-06-11T10:37:00Z</dcterms:created>
  <dcterms:modified xsi:type="dcterms:W3CDTF">2024-06-11T10:37:00Z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