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0B9" w:rsidRDefault="00287EBF">
      <w:pPr>
        <w:spacing w:after="8"/>
        <w:rPr>
          <w:rFonts w:ascii="Palatino" w:hAnsi="Palatino"/>
          <w:caps/>
          <w:sz w:val="18"/>
        </w:rPr>
      </w:pPr>
      <w:r w:rsidRPr="00287EBF">
        <w:rPr>
          <w:rFonts w:ascii="Palatino" w:hAnsi="Palatino"/>
          <w:b/>
          <w:noProof/>
          <w:spacing w:val="-5"/>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3.6pt;margin-top:-17.4pt;width:201.6pt;height:80.65pt;z-index:251657728;visibility:visible;mso-wrap-edited:f" o:allowincell="f">
            <v:imagedata r:id="rId7" o:title=""/>
          </v:shape>
          <o:OLEObject Type="Embed" ProgID="Word.Picture.8" ShapeID="_x0000_s1026" DrawAspect="Content" ObjectID="_1377857879" r:id="rId8"/>
        </w:pict>
      </w:r>
      <w:r w:rsidR="00C900B9">
        <w:rPr>
          <w:rFonts w:ascii="Palatino" w:hAnsi="Palatino"/>
          <w:caps/>
          <w:sz w:val="18"/>
        </w:rPr>
        <w:t>Department of Health &amp; Human Services</w:t>
      </w:r>
    </w:p>
    <w:p w:rsidR="00C900B9" w:rsidRDefault="00C900B9">
      <w:pPr>
        <w:spacing w:after="8"/>
        <w:rPr>
          <w:rFonts w:ascii="Palatino" w:hAnsi="Palatino"/>
          <w:sz w:val="18"/>
        </w:rPr>
      </w:pPr>
      <w:r>
        <w:rPr>
          <w:rFonts w:ascii="Palatino" w:hAnsi="Palatino"/>
          <w:sz w:val="18"/>
        </w:rPr>
        <w:t>Centers for Medicare &amp; Medicaid Services</w:t>
      </w:r>
    </w:p>
    <w:p w:rsidR="00635D09" w:rsidRDefault="00635D09">
      <w:pPr>
        <w:spacing w:after="8"/>
        <w:rPr>
          <w:rFonts w:ascii="Palatino" w:hAnsi="Palatino"/>
          <w:sz w:val="18"/>
        </w:rPr>
      </w:pPr>
      <w:r>
        <w:rPr>
          <w:rFonts w:ascii="Palatino" w:hAnsi="Palatino"/>
          <w:sz w:val="18"/>
        </w:rPr>
        <w:t>Center for Medicare Management</w:t>
      </w:r>
    </w:p>
    <w:p w:rsidR="00C900B9" w:rsidRDefault="00C900B9">
      <w:pPr>
        <w:spacing w:after="8"/>
        <w:rPr>
          <w:rFonts w:ascii="Palatino" w:hAnsi="Palatino"/>
          <w:sz w:val="18"/>
        </w:rPr>
      </w:pPr>
      <w:smartTag w:uri="urn:schemas-microsoft-com:office:smarttags" w:element="Street">
        <w:smartTag w:uri="urn:schemas-microsoft-com:office:smarttags" w:element="address">
          <w:r>
            <w:rPr>
              <w:rFonts w:ascii="Palatino" w:hAnsi="Palatino"/>
              <w:sz w:val="18"/>
            </w:rPr>
            <w:t>7500 Security Boulevard</w:t>
          </w:r>
        </w:smartTag>
      </w:smartTag>
    </w:p>
    <w:p w:rsidR="00C900B9" w:rsidRDefault="00C900B9">
      <w:pPr>
        <w:spacing w:after="8"/>
        <w:rPr>
          <w:rFonts w:ascii="Palatino" w:hAnsi="Palatino"/>
          <w:sz w:val="19"/>
        </w:rPr>
      </w:pPr>
      <w:smartTag w:uri="urn:schemas-microsoft-com:office:smarttags" w:element="place">
        <w:smartTag w:uri="urn:schemas-microsoft-com:office:smarttags" w:element="City">
          <w:r>
            <w:rPr>
              <w:rFonts w:ascii="Palatino" w:hAnsi="Palatino"/>
              <w:sz w:val="18"/>
            </w:rPr>
            <w:t>Baltimore</w:t>
          </w:r>
        </w:smartTag>
        <w:r>
          <w:rPr>
            <w:rFonts w:ascii="Palatino" w:hAnsi="Palatino"/>
            <w:sz w:val="18"/>
          </w:rPr>
          <w:t xml:space="preserve">, </w:t>
        </w:r>
        <w:smartTag w:uri="urn:schemas-microsoft-com:office:smarttags" w:element="State">
          <w:r>
            <w:rPr>
              <w:rFonts w:ascii="Palatino" w:hAnsi="Palatino"/>
              <w:sz w:val="18"/>
            </w:rPr>
            <w:t>Maryland</w:t>
          </w:r>
        </w:smartTag>
        <w:r>
          <w:rPr>
            <w:rFonts w:ascii="Palatino" w:hAnsi="Palatino"/>
            <w:sz w:val="18"/>
          </w:rPr>
          <w:t xml:space="preserve"> </w:t>
        </w:r>
        <w:smartTag w:uri="urn:schemas-microsoft-com:office:smarttags" w:element="PostalCode">
          <w:r>
            <w:rPr>
              <w:rFonts w:ascii="Palatino" w:hAnsi="Palatino"/>
              <w:sz w:val="18"/>
            </w:rPr>
            <w:t>21244-1850</w:t>
          </w:r>
        </w:smartTag>
      </w:smartTag>
    </w:p>
    <w:p w:rsidR="00C900B9" w:rsidRDefault="00C900B9">
      <w:pPr>
        <w:rPr>
          <w:rFonts w:ascii="Palatino" w:hAnsi="Palatino"/>
          <w:sz w:val="19"/>
        </w:rPr>
      </w:pPr>
    </w:p>
    <w:p w:rsidR="00C900B9" w:rsidRDefault="00C900B9">
      <w:pPr>
        <w:pStyle w:val="BodyTextIndent"/>
        <w:ind w:left="1440" w:hanging="1440"/>
        <w:rPr>
          <w:rFonts w:ascii="TimesNewRoman,Bold" w:hAnsi="TimesNewRoman,Bold"/>
          <w:sz w:val="24"/>
        </w:rPr>
      </w:pPr>
    </w:p>
    <w:p w:rsidR="00C900B9" w:rsidRDefault="00C900B9">
      <w:pPr>
        <w:pStyle w:val="BodyText"/>
        <w:jc w:val="center"/>
        <w:rPr>
          <w:rFonts w:ascii="TimesNewRoman,Bold" w:hAnsi="TimesNewRoman,Bold"/>
          <w:b/>
          <w:bCs/>
          <w:color w:val="000000"/>
          <w:sz w:val="24"/>
        </w:rPr>
      </w:pPr>
      <w:r>
        <w:rPr>
          <w:rFonts w:ascii="TimesNewRoman,Bold" w:hAnsi="TimesNewRoman,Bold"/>
          <w:b/>
          <w:bCs/>
          <w:color w:val="000000"/>
          <w:sz w:val="24"/>
        </w:rPr>
        <w:t xml:space="preserve">Application for New Medical Services and Technologies Seeking to Qualify for </w:t>
      </w:r>
    </w:p>
    <w:p w:rsidR="00C900B9" w:rsidRDefault="00C900B9">
      <w:pPr>
        <w:pStyle w:val="BodyText"/>
        <w:jc w:val="center"/>
        <w:rPr>
          <w:rFonts w:ascii="TimesNewRoman,Bold" w:hAnsi="TimesNewRoman,Bold"/>
          <w:b/>
          <w:bCs/>
          <w:color w:val="000000"/>
          <w:sz w:val="24"/>
        </w:rPr>
      </w:pPr>
      <w:r>
        <w:rPr>
          <w:rFonts w:ascii="TimesNewRoman,Bold" w:hAnsi="TimesNewRoman,Bold"/>
          <w:b/>
          <w:bCs/>
          <w:color w:val="000000"/>
          <w:sz w:val="24"/>
        </w:rPr>
        <w:t xml:space="preserve">Add-On Payments Under the Hospital Inpatient Prospective Payment System </w:t>
      </w:r>
    </w:p>
    <w:p w:rsidR="00C900B9" w:rsidRDefault="00C900B9">
      <w:pPr>
        <w:pStyle w:val="BodyText"/>
        <w:jc w:val="center"/>
        <w:rPr>
          <w:rFonts w:ascii="TimesNewRoman,Bold" w:hAnsi="TimesNewRoman,Bold"/>
          <w:b/>
          <w:bCs/>
          <w:color w:val="000000"/>
          <w:sz w:val="24"/>
        </w:rPr>
      </w:pPr>
      <w:r>
        <w:rPr>
          <w:rFonts w:ascii="TimesNewRoman,Bold" w:hAnsi="TimesNewRoman,Bold"/>
          <w:b/>
          <w:bCs/>
          <w:color w:val="000000"/>
          <w:sz w:val="24"/>
        </w:rPr>
        <w:t>f</w:t>
      </w:r>
      <w:r w:rsidR="001A40DA">
        <w:rPr>
          <w:rFonts w:ascii="TimesNewRoman,Bold" w:hAnsi="TimesNewRoman,Bold"/>
          <w:b/>
          <w:bCs/>
          <w:color w:val="000000"/>
          <w:sz w:val="24"/>
        </w:rPr>
        <w:t xml:space="preserve">or Federal Fiscal Year (FY) </w:t>
      </w:r>
      <w:r w:rsidR="00E12B5C">
        <w:rPr>
          <w:rFonts w:ascii="TimesNewRoman,Bold" w:hAnsi="TimesNewRoman,Bold"/>
          <w:b/>
          <w:bCs/>
          <w:color w:val="000000"/>
          <w:sz w:val="24"/>
        </w:rPr>
        <w:t>201</w:t>
      </w:r>
      <w:r w:rsidR="006C25A7">
        <w:rPr>
          <w:rFonts w:ascii="TimesNewRoman,Bold" w:hAnsi="TimesNewRoman,Bold"/>
          <w:b/>
          <w:bCs/>
          <w:color w:val="000000"/>
          <w:sz w:val="24"/>
        </w:rPr>
        <w:t>3</w:t>
      </w:r>
      <w:r w:rsidR="00E12B5C">
        <w:rPr>
          <w:rFonts w:ascii="TimesNewRoman,Bold" w:hAnsi="TimesNewRoman,Bold"/>
          <w:b/>
          <w:bCs/>
          <w:color w:val="000000"/>
          <w:sz w:val="24"/>
        </w:rPr>
        <w:t xml:space="preserve"> </w:t>
      </w:r>
    </w:p>
    <w:p w:rsidR="00C900B9" w:rsidRDefault="00C900B9">
      <w:pPr>
        <w:pStyle w:val="Default"/>
      </w:pPr>
    </w:p>
    <w:p w:rsidR="00C900B9" w:rsidRDefault="00C900B9">
      <w:pPr>
        <w:pStyle w:val="BodyText2"/>
      </w:pPr>
      <w:r>
        <w:t xml:space="preserve">Section 1886(d)(5)(K) authorizes the Secretary to establish a special payment methodology for new medical services and technologies used in inpatient procedures.  To qualify for additional payments under this provision; a new technology must represent a substantial clinical improvement; data reflecting the cost of new technology must not yet be available in the data used to recalibrate the </w:t>
      </w:r>
      <w:r w:rsidR="00A7529B">
        <w:t xml:space="preserve">Medicare severity </w:t>
      </w:r>
      <w:r>
        <w:t>diagnosis-related groups (</w:t>
      </w:r>
      <w:r w:rsidR="00A7529B">
        <w:t>MS-</w:t>
      </w:r>
      <w:r>
        <w:t xml:space="preserve">DRGs); and the </w:t>
      </w:r>
      <w:r w:rsidR="00A7529B">
        <w:t>MS-</w:t>
      </w:r>
      <w:r>
        <w:t xml:space="preserve">DRG payment rate otherwise applicable to the new technology would be inadequate (see 42 CFR 412.87 (b)). </w:t>
      </w:r>
    </w:p>
    <w:p w:rsidR="00C900B9" w:rsidRDefault="00D70EB2">
      <w:pPr>
        <w:pStyle w:val="Heading2"/>
        <w:rPr>
          <w:szCs w:val="20"/>
        </w:rPr>
      </w:pPr>
      <w:r>
        <w:t>DEADLINE</w:t>
      </w:r>
    </w:p>
    <w:p w:rsidR="00C900B9" w:rsidRDefault="00C900B9">
      <w:pPr>
        <w:spacing w:after="120"/>
      </w:pPr>
      <w:r>
        <w:rPr>
          <w:color w:val="000000"/>
        </w:rPr>
        <w:t xml:space="preserve">Submit a complete application </w:t>
      </w:r>
      <w:r>
        <w:t xml:space="preserve">(see required information below) showing substantial clinical improvement and </w:t>
      </w:r>
      <w:r w:rsidR="00E15E16">
        <w:t xml:space="preserve">a </w:t>
      </w:r>
      <w:r>
        <w:t xml:space="preserve">significant sample of charge data – </w:t>
      </w:r>
      <w:r w:rsidRPr="00D70EB2">
        <w:rPr>
          <w:b/>
        </w:rPr>
        <w:t xml:space="preserve">No </w:t>
      </w:r>
      <w:r w:rsidRPr="00D70EB2">
        <w:rPr>
          <w:b/>
          <w:color w:val="000000"/>
        </w:rPr>
        <w:t xml:space="preserve">later than </w:t>
      </w:r>
      <w:r w:rsidR="00FB5A3E">
        <w:rPr>
          <w:b/>
          <w:bCs/>
          <w:color w:val="000000"/>
        </w:rPr>
        <w:t xml:space="preserve">November </w:t>
      </w:r>
      <w:r w:rsidR="00E12B5C">
        <w:rPr>
          <w:b/>
          <w:bCs/>
          <w:color w:val="000000"/>
        </w:rPr>
        <w:t>2</w:t>
      </w:r>
      <w:r w:rsidR="006C25A7">
        <w:rPr>
          <w:b/>
          <w:bCs/>
          <w:color w:val="000000"/>
        </w:rPr>
        <w:t>1</w:t>
      </w:r>
      <w:r>
        <w:rPr>
          <w:b/>
          <w:bCs/>
          <w:color w:val="000000"/>
        </w:rPr>
        <w:t>, 20</w:t>
      </w:r>
      <w:r w:rsidR="00912E82">
        <w:rPr>
          <w:b/>
          <w:bCs/>
          <w:color w:val="000000"/>
        </w:rPr>
        <w:t>1</w:t>
      </w:r>
      <w:r w:rsidR="006C25A7">
        <w:rPr>
          <w:b/>
          <w:bCs/>
          <w:color w:val="000000"/>
        </w:rPr>
        <w:t>1</w:t>
      </w:r>
    </w:p>
    <w:p w:rsidR="00C900B9" w:rsidRDefault="00C900B9">
      <w:pPr>
        <w:spacing w:after="120"/>
      </w:pPr>
      <w:r>
        <w:t xml:space="preserve">Complete database </w:t>
      </w:r>
      <w:r w:rsidR="00FA5972">
        <w:t xml:space="preserve">– </w:t>
      </w:r>
      <w:r w:rsidR="00FA5972" w:rsidRPr="00D70EB2">
        <w:rPr>
          <w:b/>
        </w:rPr>
        <w:t xml:space="preserve">No later than </w:t>
      </w:r>
      <w:r w:rsidR="001A40DA">
        <w:rPr>
          <w:b/>
        </w:rPr>
        <w:t>December 3</w:t>
      </w:r>
      <w:r w:rsidR="00FB5A3E">
        <w:rPr>
          <w:b/>
        </w:rPr>
        <w:t>1</w:t>
      </w:r>
      <w:r w:rsidR="00FA5972" w:rsidRPr="00D70EB2">
        <w:rPr>
          <w:b/>
        </w:rPr>
        <w:t xml:space="preserve">, </w:t>
      </w:r>
      <w:r w:rsidR="00E12B5C" w:rsidRPr="00D70EB2">
        <w:rPr>
          <w:b/>
        </w:rPr>
        <w:t>20</w:t>
      </w:r>
      <w:r w:rsidR="00912E82">
        <w:rPr>
          <w:b/>
        </w:rPr>
        <w:t>1</w:t>
      </w:r>
      <w:r w:rsidR="006C25A7">
        <w:rPr>
          <w:b/>
        </w:rPr>
        <w:t>1</w:t>
      </w:r>
    </w:p>
    <w:p w:rsidR="00C900B9" w:rsidRDefault="00C900B9">
      <w:pPr>
        <w:spacing w:after="240"/>
        <w:rPr>
          <w:color w:val="000000"/>
        </w:rPr>
      </w:pPr>
      <w:r>
        <w:t xml:space="preserve">An application is considered complete when all of the information requested </w:t>
      </w:r>
      <w:r w:rsidR="00E15E16">
        <w:t xml:space="preserve">above and </w:t>
      </w:r>
      <w:r>
        <w:t xml:space="preserve">below has been submitted </w:t>
      </w:r>
      <w:r w:rsidR="00E15E16">
        <w:t xml:space="preserve">by the dates specified </w:t>
      </w:r>
      <w:r>
        <w:t>and when questions related to such information have been answered by the applicant.</w:t>
      </w:r>
    </w:p>
    <w:p w:rsidR="00C900B9" w:rsidRDefault="00C900B9">
      <w:pPr>
        <w:pStyle w:val="Heading1"/>
        <w:spacing w:after="240"/>
        <w:rPr>
          <w:color w:val="000000"/>
          <w:sz w:val="24"/>
          <w:szCs w:val="20"/>
        </w:rPr>
      </w:pPr>
      <w:r>
        <w:rPr>
          <w:rFonts w:ascii="TimesNewRoman,Bold" w:hAnsi="TimesNewRoman,Bold"/>
          <w:b/>
          <w:bCs/>
          <w:color w:val="000000"/>
          <w:sz w:val="24"/>
          <w:u w:val="single"/>
        </w:rPr>
        <w:t xml:space="preserve">REQUIRED INFORMATION </w:t>
      </w:r>
    </w:p>
    <w:p w:rsidR="00C900B9" w:rsidRDefault="00C900B9">
      <w:pPr>
        <w:spacing w:after="240"/>
        <w:rPr>
          <w:color w:val="000000"/>
          <w:szCs w:val="20"/>
        </w:rPr>
      </w:pPr>
      <w:r>
        <w:rPr>
          <w:color w:val="000000"/>
        </w:rPr>
        <w:t xml:space="preserve">Applications must include the following information (may be entered directly onto this form).   </w:t>
      </w:r>
      <w:r>
        <w:t>CMS may request other information in order to evaluate specific requests.  Note that a separate application is required for each distinct item included in a request.  For example, if an applicant requests add-on payments for two unique technologies or services, a separate application is required for each technology or service.</w:t>
      </w:r>
    </w:p>
    <w:p w:rsidR="00C900B9" w:rsidRDefault="00C900B9">
      <w:pPr>
        <w:numPr>
          <w:ilvl w:val="0"/>
          <w:numId w:val="2"/>
          <w:numberingChange w:id="0" w:author="mady" w:date="2011-09-09T11:32:00Z" w:original="%1:1:0:."/>
        </w:numPr>
        <w:spacing w:after="240"/>
        <w:rPr>
          <w:color w:val="000000"/>
          <w:szCs w:val="20"/>
        </w:rPr>
      </w:pPr>
      <w:r>
        <w:rPr>
          <w:color w:val="000000"/>
        </w:rPr>
        <w:t xml:space="preserve">A completed tracking form. (A tracking form may be downloaded at </w:t>
      </w:r>
      <w:r w:rsidR="00464F00" w:rsidRPr="00464F00">
        <w:rPr>
          <w:color w:val="000000"/>
        </w:rPr>
        <w:t>http://www.cms.hhs.gov/AcuteInpatientPPS/08_newtech.asp#TopOfPage</w:t>
      </w:r>
      <w:r>
        <w:rPr>
          <w:color w:val="000000"/>
        </w:rPr>
        <w:t>.)</w:t>
      </w:r>
    </w:p>
    <w:p w:rsidR="00C900B9" w:rsidRDefault="00C900B9">
      <w:pPr>
        <w:numPr>
          <w:ilvl w:val="0"/>
          <w:numId w:val="2"/>
          <w:numberingChange w:id="1" w:author="mady" w:date="2011-09-09T11:32:00Z" w:original="%1:2:0:."/>
        </w:numPr>
        <w:spacing w:after="240"/>
        <w:rPr>
          <w:color w:val="000000"/>
          <w:szCs w:val="20"/>
        </w:rPr>
      </w:pPr>
      <w:r>
        <w:rPr>
          <w:color w:val="000000"/>
        </w:rPr>
        <w:t xml:space="preserve">Name, address, and telephone number of primary contact for the application. </w:t>
      </w:r>
    </w:p>
    <w:p w:rsidR="00C900B9" w:rsidRDefault="00C900B9">
      <w:pPr>
        <w:numPr>
          <w:ilvl w:val="0"/>
          <w:numId w:val="2"/>
          <w:numberingChange w:id="2" w:author="mady" w:date="2011-09-09T11:32:00Z" w:original="%1:3:0:."/>
        </w:numPr>
        <w:spacing w:after="240"/>
        <w:rPr>
          <w:color w:val="000000"/>
          <w:szCs w:val="20"/>
        </w:rPr>
      </w:pPr>
      <w:r>
        <w:rPr>
          <w:color w:val="000000"/>
        </w:rPr>
        <w:t xml:space="preserve">Trade/brand name of the new technology. </w:t>
      </w:r>
    </w:p>
    <w:p w:rsidR="00C900B9" w:rsidRDefault="00C900B9">
      <w:pPr>
        <w:numPr>
          <w:ilvl w:val="0"/>
          <w:numId w:val="2"/>
          <w:numberingChange w:id="3" w:author="mady" w:date="2011-09-09T11:32:00Z" w:original="%1:4:0:."/>
        </w:numPr>
        <w:spacing w:after="240"/>
        <w:rPr>
          <w:color w:val="000000"/>
          <w:szCs w:val="20"/>
        </w:rPr>
      </w:pPr>
      <w:r>
        <w:rPr>
          <w:color w:val="000000"/>
        </w:rPr>
        <w:t xml:space="preserve">Describe the technology fully in general terminology.  (What is it?  What does it do?  How is it used?  Also, submit relevant descriptive booklets, brochures, package inserts, as </w:t>
      </w:r>
      <w:r>
        <w:rPr>
          <w:color w:val="000000"/>
        </w:rPr>
        <w:lastRenderedPageBreak/>
        <w:t>well as copies of published peer-review</w:t>
      </w:r>
      <w:r w:rsidR="00E12B5C">
        <w:rPr>
          <w:color w:val="000000"/>
        </w:rPr>
        <w:t>ed</w:t>
      </w:r>
      <w:r>
        <w:rPr>
          <w:color w:val="000000"/>
        </w:rPr>
        <w:t xml:space="preserve"> articles </w:t>
      </w:r>
      <w:r w:rsidR="00E12B5C">
        <w:rPr>
          <w:color w:val="000000"/>
        </w:rPr>
        <w:t>relevant to the</w:t>
      </w:r>
      <w:r>
        <w:rPr>
          <w:color w:val="000000"/>
        </w:rPr>
        <w:t xml:space="preserve"> new medical services and technologies.) </w:t>
      </w:r>
    </w:p>
    <w:p w:rsidR="00C900B9" w:rsidRDefault="00C900B9">
      <w:pPr>
        <w:pStyle w:val="Heading2"/>
        <w:spacing w:after="0"/>
        <w:rPr>
          <w:b w:val="0"/>
          <w:bCs w:val="0"/>
          <w:u w:val="none"/>
        </w:rPr>
      </w:pPr>
    </w:p>
    <w:p w:rsidR="00C900B9" w:rsidRDefault="00C900B9">
      <w:pPr>
        <w:pStyle w:val="BodyTextIndent"/>
        <w:spacing w:after="240"/>
        <w:ind w:left="1440" w:hanging="1439"/>
        <w:rPr>
          <w:rFonts w:ascii="TimesNewRoman,Bold" w:hAnsi="TimesNewRoman,Bold"/>
          <w:b/>
          <w:bCs/>
          <w:sz w:val="24"/>
          <w:u w:val="single"/>
        </w:rPr>
      </w:pPr>
      <w:r>
        <w:rPr>
          <w:rFonts w:ascii="TimesNewRoman,Bold" w:hAnsi="TimesNewRoman,Bold"/>
          <w:b/>
          <w:bCs/>
          <w:sz w:val="24"/>
          <w:u w:val="single"/>
        </w:rPr>
        <w:t>New</w:t>
      </w:r>
      <w:r w:rsidR="00997961">
        <w:rPr>
          <w:rFonts w:ascii="TimesNewRoman,Bold" w:hAnsi="TimesNewRoman,Bold"/>
          <w:b/>
          <w:bCs/>
          <w:sz w:val="24"/>
          <w:u w:val="single"/>
        </w:rPr>
        <w:t>ness</w:t>
      </w:r>
      <w:r>
        <w:rPr>
          <w:rFonts w:ascii="TimesNewRoman,Bold" w:hAnsi="TimesNewRoman,Bold"/>
          <w:b/>
          <w:bCs/>
          <w:sz w:val="24"/>
          <w:u w:val="single"/>
        </w:rPr>
        <w:t xml:space="preserve"> Criteri</w:t>
      </w:r>
      <w:r w:rsidR="00997961">
        <w:rPr>
          <w:rFonts w:ascii="TimesNewRoman,Bold" w:hAnsi="TimesNewRoman,Bold"/>
          <w:b/>
          <w:bCs/>
          <w:sz w:val="24"/>
          <w:u w:val="single"/>
        </w:rPr>
        <w:t>on</w:t>
      </w:r>
    </w:p>
    <w:p w:rsidR="004A5232" w:rsidRDefault="00C900B9" w:rsidP="00E15E16">
      <w:pPr>
        <w:spacing w:after="240"/>
      </w:pPr>
      <w:r>
        <w:rPr>
          <w:u w:val="single"/>
        </w:rPr>
        <w:t>Note:</w:t>
      </w:r>
      <w:r>
        <w:t xml:space="preserve">  To qualify for a new technology add-on payment, the technology or service must not be reflected in the data used to establish the </w:t>
      </w:r>
      <w:r w:rsidR="00A7529B">
        <w:t>Medicare</w:t>
      </w:r>
      <w:r w:rsidR="00E15E16">
        <w:t>-S</w:t>
      </w:r>
      <w:r w:rsidR="00A7529B">
        <w:t xml:space="preserve">everity </w:t>
      </w:r>
      <w:r w:rsidR="00E15E16">
        <w:t>D</w:t>
      </w:r>
      <w:r>
        <w:t xml:space="preserve">iagnosis </w:t>
      </w:r>
      <w:r w:rsidR="00E15E16">
        <w:t>R</w:t>
      </w:r>
      <w:r>
        <w:t xml:space="preserve">elated </w:t>
      </w:r>
      <w:r w:rsidR="00E15E16">
        <w:t>G</w:t>
      </w:r>
      <w:r>
        <w:t>roups (</w:t>
      </w:r>
      <w:r w:rsidR="00A7529B">
        <w:t>MS-</w:t>
      </w:r>
      <w:r>
        <w:t>DRGs).</w:t>
      </w:r>
      <w:r w:rsidR="004A5232">
        <w:t xml:space="preserve"> Additional information on substantial similarity can be found in the FY 2006 Final Rule (70 FR 47351 through 47352) and in the FY 2010 Final Rule (74 FR 43813 through 43814).</w:t>
      </w:r>
    </w:p>
    <w:p w:rsidR="00C900B9" w:rsidRDefault="00C900B9">
      <w:pPr>
        <w:pStyle w:val="Default"/>
      </w:pPr>
    </w:p>
    <w:p w:rsidR="00C900B9" w:rsidRDefault="00C900B9">
      <w:pPr>
        <w:pStyle w:val="Default"/>
      </w:pPr>
    </w:p>
    <w:p w:rsidR="00C900B9" w:rsidRDefault="00C900B9" w:rsidP="004A5232">
      <w:pPr>
        <w:pStyle w:val="BodyTextIndent"/>
        <w:numPr>
          <w:ilvl w:val="0"/>
          <w:numId w:val="15"/>
          <w:numberingChange w:id="4" w:author="mady" w:date="2011-09-09T11:32:00Z" w:original="%1:1:0:."/>
        </w:numPr>
        <w:spacing w:after="240"/>
        <w:rPr>
          <w:sz w:val="24"/>
        </w:rPr>
      </w:pPr>
      <w:r>
        <w:rPr>
          <w:sz w:val="24"/>
        </w:rPr>
        <w:t xml:space="preserve">Date of Food and Drug Administration (FDA) pre-market approval (or expected approval) for the technology or service.  Provide a copy of the FDA approval/clearance letter.  If approval has not yet been granted, please provide a copy of the approval notice to CMS immediately after it becomes available.  List the name and phone number of a contact at the FDA who is knowledgeable about the pre-market approval request for the new technology listed above. </w:t>
      </w:r>
    </w:p>
    <w:p w:rsidR="00C900B9" w:rsidRDefault="00C900B9" w:rsidP="004A5232">
      <w:pPr>
        <w:pStyle w:val="BodyTextIndent"/>
        <w:numPr>
          <w:ilvl w:val="0"/>
          <w:numId w:val="15"/>
          <w:numberingChange w:id="5" w:author="mady" w:date="2011-09-09T11:32:00Z" w:original="%1:2:0:."/>
        </w:numPr>
        <w:spacing w:after="240"/>
        <w:rPr>
          <w:sz w:val="24"/>
        </w:rPr>
      </w:pPr>
      <w:r>
        <w:rPr>
          <w:color w:val="000000"/>
          <w:sz w:val="24"/>
        </w:rPr>
        <w:t>Was the product available on the market immediately after FDA approval?  If not, please provide the date that the medical service or technology came on the market (i.e. first sales or availability) and an explanation and documentation of any delay (i.e. manufacturing issues, shelf life concerns or other reasons).</w:t>
      </w:r>
    </w:p>
    <w:p w:rsidR="00C900B9" w:rsidRDefault="00C900B9" w:rsidP="004A5232">
      <w:pPr>
        <w:pStyle w:val="BodyTextIndent"/>
        <w:numPr>
          <w:ilvl w:val="0"/>
          <w:numId w:val="15"/>
          <w:numberingChange w:id="6" w:author="mady" w:date="2011-09-09T11:32:00Z" w:original="%1:3:0:."/>
        </w:numPr>
        <w:spacing w:after="240"/>
        <w:rPr>
          <w:sz w:val="24"/>
        </w:rPr>
      </w:pPr>
      <w:r>
        <w:rPr>
          <w:sz w:val="24"/>
        </w:rPr>
        <w:t xml:space="preserve">If the technology is a drug, was/is your FDA application considered under priority review?  Refer to </w:t>
      </w:r>
      <w:hyperlink r:id="rId9" w:history="1">
        <w:r>
          <w:rPr>
            <w:rStyle w:val="Hyperlink"/>
            <w:sz w:val="24"/>
            <w:u w:val="none"/>
          </w:rPr>
          <w:t>http://www.accessdata.fda.gov/scripts/cder/onctools/Accel.cfm</w:t>
        </w:r>
      </w:hyperlink>
      <w:r>
        <w:rPr>
          <w:color w:val="000000"/>
          <w:sz w:val="24"/>
        </w:rPr>
        <w:t xml:space="preserve"> </w:t>
      </w:r>
      <w:r>
        <w:rPr>
          <w:sz w:val="24"/>
        </w:rPr>
        <w:t>for more details.</w:t>
      </w:r>
    </w:p>
    <w:p w:rsidR="00C900B9" w:rsidRDefault="00C900B9" w:rsidP="004A5232">
      <w:pPr>
        <w:pStyle w:val="Default"/>
        <w:numPr>
          <w:ilvl w:val="0"/>
          <w:numId w:val="15"/>
          <w:numberingChange w:id="7" w:author="mady" w:date="2011-09-09T11:32:00Z" w:original="%1:4:0:."/>
        </w:numPr>
        <w:rPr>
          <w:sz w:val="24"/>
        </w:rPr>
      </w:pPr>
      <w:r>
        <w:rPr>
          <w:sz w:val="24"/>
        </w:rPr>
        <w:t xml:space="preserve">If the technology is a device, </w:t>
      </w:r>
      <w:r>
        <w:rPr>
          <w:color w:val="000000"/>
          <w:sz w:val="24"/>
        </w:rPr>
        <w:t xml:space="preserve">is there an investigational device exemption (IDE) number from the FDA assigned to the device?  If yes, please provide this code.  Refer to </w:t>
      </w:r>
      <w:hyperlink r:id="rId10" w:history="1">
        <w:r>
          <w:rPr>
            <w:rStyle w:val="Hyperlink"/>
            <w:sz w:val="24"/>
            <w:u w:val="none"/>
          </w:rPr>
          <w:t>http://www.fda.gov/cdrh/devadvice/ide/index.shtml</w:t>
        </w:r>
      </w:hyperlink>
      <w:r>
        <w:rPr>
          <w:color w:val="000000"/>
          <w:sz w:val="24"/>
        </w:rPr>
        <w:t xml:space="preserve"> for more details.  What class (I, II, or III) was/is assigned to the device?  Refer to </w:t>
      </w:r>
      <w:hyperlink r:id="rId11" w:history="1">
        <w:r>
          <w:rPr>
            <w:color w:val="0000FF"/>
            <w:sz w:val="24"/>
          </w:rPr>
          <w:t>http://www.fda.gov/cdrh/devadvice/313.html</w:t>
        </w:r>
      </w:hyperlink>
      <w:r>
        <w:rPr>
          <w:color w:val="000000"/>
          <w:sz w:val="24"/>
        </w:rPr>
        <w:t xml:space="preserve"> for more details.</w:t>
      </w:r>
    </w:p>
    <w:p w:rsidR="00C900B9" w:rsidRDefault="00C900B9">
      <w:pPr>
        <w:pStyle w:val="Default"/>
        <w:ind w:left="360"/>
      </w:pPr>
    </w:p>
    <w:p w:rsidR="00C900B9" w:rsidRDefault="00C900B9" w:rsidP="004A5232">
      <w:pPr>
        <w:pStyle w:val="BodyTextIndent"/>
        <w:numPr>
          <w:ilvl w:val="0"/>
          <w:numId w:val="15"/>
          <w:numberingChange w:id="8" w:author="mady" w:date="2011-09-09T11:32:00Z" w:original="%1:5:0:."/>
        </w:numPr>
        <w:spacing w:after="240"/>
        <w:ind w:right="-180"/>
        <w:rPr>
          <w:sz w:val="24"/>
        </w:rPr>
      </w:pPr>
      <w:r>
        <w:rPr>
          <w:sz w:val="24"/>
        </w:rPr>
        <w:t xml:space="preserve">Does the service or technology have an existing International Classification of Diseases, Ninth Revision, Clinical Modification (ICD-9-CM) procedure code or is an application pending?  Refer to </w:t>
      </w:r>
      <w:hyperlink r:id="rId12" w:anchor="TopOfPage" w:history="1">
        <w:r w:rsidR="006B5CCD" w:rsidRPr="006B5CCD">
          <w:rPr>
            <w:rStyle w:val="Hyperlink"/>
            <w:sz w:val="24"/>
            <w:u w:val="none"/>
          </w:rPr>
          <w:t>http://www.cms.hhs.gov/ICD9ProviderDiagnosticCodes/01_overview.asp#TopOfPage</w:t>
        </w:r>
      </w:hyperlink>
      <w:r>
        <w:rPr>
          <w:sz w:val="24"/>
        </w:rPr>
        <w:t xml:space="preserve"> for more details.  We note that, if the product were to receive add-on payment status approval, it would need to be distinctly identifiable by ICD-9-CM code(s) in the MedPAR claims data in order to receive add-on payment.</w:t>
      </w:r>
      <w:r w:rsidR="00E15E16">
        <w:rPr>
          <w:sz w:val="24"/>
        </w:rPr>
        <w:t xml:space="preserve">  </w:t>
      </w:r>
      <w:r w:rsidR="00DD49B5">
        <w:rPr>
          <w:sz w:val="24"/>
        </w:rPr>
        <w:t>Effective FY 2014 ICD-10-CM/PCS will be implemented and ICD-9-CM will no longer be maintained.  Any applications currently covered with ICD-9-CM codes will be translated to ICD-10-CM/PCS codes for payment purposes if still eligible.</w:t>
      </w:r>
    </w:p>
    <w:p w:rsidR="00C900B9" w:rsidRDefault="00C900B9" w:rsidP="004A5232">
      <w:pPr>
        <w:pStyle w:val="BodyTextIndent"/>
        <w:numPr>
          <w:ilvl w:val="0"/>
          <w:numId w:val="15"/>
          <w:numberingChange w:id="9" w:author="mady" w:date="2011-09-09T11:32:00Z" w:original="%1:6:0:."/>
        </w:numPr>
        <w:spacing w:after="240"/>
        <w:rPr>
          <w:sz w:val="24"/>
        </w:rPr>
      </w:pPr>
      <w:r>
        <w:rPr>
          <w:sz w:val="24"/>
        </w:rPr>
        <w:lastRenderedPageBreak/>
        <w:t xml:space="preserve">Has the service or technology received a </w:t>
      </w:r>
      <w:r>
        <w:rPr>
          <w:color w:val="000000"/>
          <w:sz w:val="24"/>
        </w:rPr>
        <w:t>Healthcare Common Procedure Coding System (HCPCS) code</w:t>
      </w:r>
      <w:r>
        <w:rPr>
          <w:sz w:val="24"/>
        </w:rPr>
        <w:t xml:space="preserve">?  If yes, when was it approved?  What is the code?  Refer to </w:t>
      </w:r>
      <w:hyperlink r:id="rId13" w:anchor="TopOfPage" w:history="1">
        <w:r w:rsidR="006B5CCD" w:rsidRPr="006B5CCD">
          <w:rPr>
            <w:rStyle w:val="Hyperlink"/>
            <w:rFonts w:ascii="Times New Roman" w:hAnsi="Times New Roman"/>
            <w:sz w:val="24"/>
            <w:u w:val="none"/>
          </w:rPr>
          <w:t>http://www.cms.hhs.gov/MedHCPCSGenInfo/01_Overview.asp#TopOfPage</w:t>
        </w:r>
      </w:hyperlink>
      <w:r w:rsidR="006B5CCD" w:rsidRPr="006B5CCD" w:rsidDel="006B5CCD">
        <w:rPr>
          <w:rStyle w:val="Hyperlink"/>
          <w:rFonts w:ascii="Times New Roman" w:hAnsi="Times New Roman"/>
          <w:sz w:val="24"/>
          <w:u w:val="none"/>
        </w:rPr>
        <w:t xml:space="preserve"> </w:t>
      </w:r>
      <w:r w:rsidRPr="006B5CCD">
        <w:rPr>
          <w:rStyle w:val="Hyperlink"/>
          <w:rFonts w:ascii="Times New Roman" w:hAnsi="Times New Roman"/>
          <w:sz w:val="24"/>
          <w:u w:val="none"/>
        </w:rPr>
        <w:t xml:space="preserve"> </w:t>
      </w:r>
      <w:r>
        <w:rPr>
          <w:color w:val="000000"/>
          <w:sz w:val="24"/>
        </w:rPr>
        <w:t>for more information.</w:t>
      </w:r>
    </w:p>
    <w:p w:rsidR="00C900B9" w:rsidRDefault="00C900B9" w:rsidP="004A5232">
      <w:pPr>
        <w:pStyle w:val="Default"/>
        <w:numPr>
          <w:ilvl w:val="0"/>
          <w:numId w:val="15"/>
          <w:numberingChange w:id="10" w:author="mady" w:date="2011-09-09T11:32:00Z" w:original="%1:7:0:."/>
        </w:numPr>
        <w:rPr>
          <w:sz w:val="24"/>
        </w:rPr>
      </w:pPr>
      <w:r>
        <w:rPr>
          <w:color w:val="000000"/>
          <w:sz w:val="24"/>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4" w:anchor="TopOfPage" w:history="1">
        <w:r w:rsidR="00290ADF">
          <w:rPr>
            <w:color w:val="0000FF"/>
            <w:sz w:val="24"/>
          </w:rPr>
          <w:t>http://www.cms.hhs.gov/HospitalOutpatientPPS/04_passthrough_payment.asp#TopOfPage</w:t>
        </w:r>
      </w:hyperlink>
      <w:r>
        <w:rPr>
          <w:color w:val="000000"/>
          <w:sz w:val="24"/>
        </w:rPr>
        <w:t xml:space="preserve"> for more information.</w:t>
      </w:r>
      <w:r w:rsidR="00290ADF">
        <w:rPr>
          <w:color w:val="000000"/>
          <w:sz w:val="24"/>
        </w:rPr>
        <w:t xml:space="preserve"> </w:t>
      </w:r>
    </w:p>
    <w:p w:rsidR="00C900B9" w:rsidRDefault="00C900B9">
      <w:pPr>
        <w:pStyle w:val="Default"/>
        <w:rPr>
          <w:color w:val="000000"/>
          <w:sz w:val="24"/>
        </w:rPr>
      </w:pPr>
    </w:p>
    <w:p w:rsidR="00C900B9" w:rsidRDefault="00C900B9">
      <w:pPr>
        <w:pStyle w:val="Default"/>
        <w:rPr>
          <w:color w:val="000000"/>
          <w:sz w:val="24"/>
        </w:rPr>
      </w:pPr>
    </w:p>
    <w:p w:rsidR="00C900B9" w:rsidRDefault="00C900B9">
      <w:pPr>
        <w:pStyle w:val="BodyTextIndent"/>
        <w:ind w:left="1440" w:hanging="1440"/>
        <w:rPr>
          <w:rFonts w:ascii="TimesNewRoman,Bold" w:hAnsi="TimesNewRoman,Bold"/>
          <w:sz w:val="24"/>
        </w:rPr>
      </w:pPr>
    </w:p>
    <w:p w:rsidR="00C900B9" w:rsidRDefault="00C900B9">
      <w:pPr>
        <w:pStyle w:val="BodyTextIndent"/>
        <w:spacing w:after="240"/>
        <w:ind w:left="1440" w:hanging="1439"/>
        <w:rPr>
          <w:rFonts w:ascii="Times New Roman" w:hAnsi="Times New Roman"/>
          <w:b/>
          <w:bCs/>
          <w:sz w:val="24"/>
          <w:u w:val="single"/>
        </w:rPr>
      </w:pPr>
      <w:r>
        <w:rPr>
          <w:rFonts w:ascii="Times New Roman" w:hAnsi="Times New Roman"/>
          <w:b/>
          <w:bCs/>
          <w:sz w:val="24"/>
          <w:u w:val="single"/>
        </w:rPr>
        <w:t xml:space="preserve">Cost </w:t>
      </w:r>
      <w:r w:rsidR="00997961">
        <w:rPr>
          <w:rFonts w:ascii="Times New Roman" w:hAnsi="Times New Roman"/>
          <w:b/>
          <w:bCs/>
          <w:sz w:val="24"/>
          <w:u w:val="single"/>
        </w:rPr>
        <w:t>Criterion</w:t>
      </w:r>
    </w:p>
    <w:p w:rsidR="00C900B9" w:rsidRDefault="00C900B9">
      <w:pPr>
        <w:pStyle w:val="BodyTextIndent"/>
        <w:spacing w:after="240"/>
        <w:ind w:firstLine="1"/>
      </w:pPr>
      <w:r>
        <w:rPr>
          <w:rFonts w:ascii="Times New Roman" w:hAnsi="Times New Roman"/>
          <w:sz w:val="24"/>
          <w:u w:val="single"/>
        </w:rPr>
        <w:t>Note:</w:t>
      </w:r>
      <w:r>
        <w:rPr>
          <w:rFonts w:ascii="Times New Roman" w:hAnsi="Times New Roman"/>
          <w:sz w:val="24"/>
        </w:rPr>
        <w:t xml:space="preserve">  To qualify for a new technology add-on payment, the technology or service must result in average charges for cases using the technology in excess of the lesser of 75 percent of the standardized amount increased to reflect the difference between costs and charges or 75 percent of 1 standard deviation beyond the geometric mean standardized charge for all cases in the </w:t>
      </w:r>
      <w:r w:rsidR="00464F00">
        <w:rPr>
          <w:rFonts w:ascii="Times New Roman" w:hAnsi="Times New Roman"/>
          <w:sz w:val="24"/>
        </w:rPr>
        <w:t>MS-</w:t>
      </w:r>
      <w:r>
        <w:rPr>
          <w:rFonts w:ascii="Times New Roman" w:hAnsi="Times New Roman"/>
          <w:sz w:val="24"/>
        </w:rPr>
        <w:t xml:space="preserve">DRGs to which the new technology is assigned. Table 10 from the annual final rule lists the thresholds by </w:t>
      </w:r>
      <w:r w:rsidR="00464F00">
        <w:rPr>
          <w:rFonts w:ascii="Times New Roman" w:hAnsi="Times New Roman"/>
          <w:sz w:val="24"/>
        </w:rPr>
        <w:t>MS-</w:t>
      </w:r>
      <w:r>
        <w:rPr>
          <w:rFonts w:ascii="Times New Roman" w:hAnsi="Times New Roman"/>
          <w:sz w:val="24"/>
        </w:rPr>
        <w:t xml:space="preserve">DRG.  The most recent version of Table 10 can be downloaded at: </w:t>
      </w:r>
      <w:r w:rsidR="006C25A7" w:rsidRPr="006C25A7">
        <w:rPr>
          <w:rFonts w:ascii="Times New Roman" w:hAnsi="Times New Roman"/>
          <w:sz w:val="24"/>
        </w:rPr>
        <w:t>https://www.cms.gov/AcuteInpatientPPS/FR2012/itemdetail.asp?filterType=none&amp;filterByDID=-99&amp;sortByDID=1&amp;sortOrder=ascending&amp;itemID=CMS1250507&amp;intNumPerPage=10</w:t>
      </w:r>
      <w:r>
        <w:rPr>
          <w:rStyle w:val="Hyperlink"/>
          <w:rFonts w:ascii="Times New Roman" w:hAnsi="Times New Roman"/>
          <w:sz w:val="24"/>
          <w:u w:val="none"/>
        </w:rPr>
        <w:t>.</w:t>
      </w:r>
    </w:p>
    <w:p w:rsidR="00C900B9" w:rsidRDefault="00C900B9">
      <w:pPr>
        <w:pStyle w:val="Default"/>
        <w:rPr>
          <w:i/>
          <w:iCs/>
          <w:sz w:val="24"/>
          <w:u w:val="single"/>
        </w:rPr>
      </w:pPr>
      <w:r>
        <w:rPr>
          <w:i/>
          <w:iCs/>
          <w:sz w:val="24"/>
          <w:u w:val="single"/>
        </w:rPr>
        <w:t>Charge Information</w:t>
      </w:r>
    </w:p>
    <w:p w:rsidR="00C900B9" w:rsidRDefault="00C900B9">
      <w:pPr>
        <w:pStyle w:val="Default"/>
        <w:rPr>
          <w:sz w:val="24"/>
        </w:rPr>
      </w:pPr>
    </w:p>
    <w:p w:rsidR="00C900B9" w:rsidRPr="00DB0B0A" w:rsidRDefault="00C900B9" w:rsidP="004A5232">
      <w:pPr>
        <w:pStyle w:val="BodyTextIndent"/>
        <w:numPr>
          <w:ilvl w:val="0"/>
          <w:numId w:val="15"/>
          <w:numberingChange w:id="11" w:author="mady" w:date="2011-09-09T11:32:00Z" w:original="%1:8:0:."/>
        </w:numPr>
        <w:spacing w:after="240"/>
        <w:rPr>
          <w:sz w:val="24"/>
        </w:rPr>
      </w:pPr>
      <w:r w:rsidRPr="00DB0B0A">
        <w:rPr>
          <w:sz w:val="24"/>
        </w:rPr>
        <w:t>What is the (anticipated) average standardized charge per case involving this new technology?  (</w:t>
      </w:r>
      <w:r w:rsidR="00DB0B0A" w:rsidRPr="00DB0B0A">
        <w:rPr>
          <w:b/>
          <w:sz w:val="24"/>
        </w:rPr>
        <w:t>Note:</w:t>
      </w:r>
      <w:r w:rsidR="00DB0B0A" w:rsidRPr="00DB0B0A">
        <w:rPr>
          <w:sz w:val="24"/>
        </w:rPr>
        <w:t xml:space="preserve"> Pl</w:t>
      </w:r>
      <w:r w:rsidRPr="00DB0B0A">
        <w:rPr>
          <w:sz w:val="24"/>
        </w:rPr>
        <w:t xml:space="preserve">ease refer to </w:t>
      </w:r>
      <w:r w:rsidR="00B141D2" w:rsidRPr="00DB0B0A">
        <w:rPr>
          <w:sz w:val="24"/>
        </w:rPr>
        <w:t xml:space="preserve">Technical </w:t>
      </w:r>
      <w:r w:rsidR="00DB0B0A" w:rsidRPr="00DB0B0A">
        <w:rPr>
          <w:sz w:val="24"/>
        </w:rPr>
        <w:t xml:space="preserve">Appendix A </w:t>
      </w:r>
      <w:r w:rsidR="00B141D2" w:rsidRPr="00DB0B0A">
        <w:rPr>
          <w:sz w:val="24"/>
        </w:rPr>
        <w:t xml:space="preserve">for </w:t>
      </w:r>
      <w:r w:rsidR="00DB0B0A" w:rsidRPr="00DB0B0A">
        <w:rPr>
          <w:sz w:val="24"/>
        </w:rPr>
        <w:t>an explanation of</w:t>
      </w:r>
      <w:r w:rsidR="00E12B5C" w:rsidRPr="00DB0B0A">
        <w:rPr>
          <w:sz w:val="24"/>
        </w:rPr>
        <w:t xml:space="preserve"> </w:t>
      </w:r>
      <w:r w:rsidR="00B141D2" w:rsidRPr="00DB0B0A">
        <w:rPr>
          <w:sz w:val="24"/>
        </w:rPr>
        <w:t xml:space="preserve">how </w:t>
      </w:r>
      <w:r w:rsidRPr="00DB0B0A">
        <w:rPr>
          <w:sz w:val="24"/>
        </w:rPr>
        <w:t>to standardize charges</w:t>
      </w:r>
      <w:r w:rsidR="000F251E" w:rsidRPr="00DB0B0A">
        <w:rPr>
          <w:sz w:val="24"/>
        </w:rPr>
        <w:t>.</w:t>
      </w:r>
      <w:r w:rsidRPr="00DB0B0A">
        <w:rPr>
          <w:sz w:val="24"/>
        </w:rPr>
        <w:t xml:space="preserve">)  </w:t>
      </w:r>
    </w:p>
    <w:p w:rsidR="00C900B9" w:rsidRDefault="00C900B9" w:rsidP="004A5232">
      <w:pPr>
        <w:pStyle w:val="Default"/>
        <w:numPr>
          <w:ilvl w:val="0"/>
          <w:numId w:val="15"/>
          <w:numberingChange w:id="12" w:author="mady" w:date="2011-09-09T11:32:00Z" w:original="%1:9:0:."/>
        </w:numPr>
        <w:rPr>
          <w:sz w:val="24"/>
        </w:rPr>
      </w:pPr>
      <w:r>
        <w:rPr>
          <w:sz w:val="24"/>
        </w:rPr>
        <w:t>Please describe the type of data used to calculate the average standardized charge? (i.e. number of cases [Medicare or non-Medicare], number of providers, time period from which data was collected).</w:t>
      </w:r>
    </w:p>
    <w:p w:rsidR="00C900B9" w:rsidRDefault="00C900B9">
      <w:pPr>
        <w:pStyle w:val="Default"/>
        <w:ind w:left="360"/>
        <w:rPr>
          <w:sz w:val="24"/>
        </w:rPr>
      </w:pPr>
    </w:p>
    <w:p w:rsidR="00C900B9" w:rsidRPr="00A7529B" w:rsidRDefault="00A7529B" w:rsidP="00A7529B">
      <w:pPr>
        <w:pStyle w:val="BodyTextIndent"/>
        <w:numPr>
          <w:ilvl w:val="1"/>
          <w:numId w:val="7"/>
          <w:numberingChange w:id="13" w:author="mady" w:date="2011-09-09T11:32:00Z" w:original="%2:1:4:."/>
        </w:numPr>
        <w:tabs>
          <w:tab w:val="clear" w:pos="2160"/>
          <w:tab w:val="num" w:pos="1620"/>
        </w:tabs>
        <w:spacing w:after="240"/>
        <w:ind w:left="1620"/>
        <w:rPr>
          <w:sz w:val="24"/>
        </w:rPr>
      </w:pPr>
      <w:r w:rsidRPr="00A7529B">
        <w:rPr>
          <w:sz w:val="24"/>
        </w:rPr>
        <w:t>Which</w:t>
      </w:r>
      <w:r w:rsidR="00C900B9" w:rsidRPr="00A7529B">
        <w:rPr>
          <w:sz w:val="24"/>
        </w:rPr>
        <w:t xml:space="preserve"> </w:t>
      </w:r>
      <w:r w:rsidRPr="00A7529B">
        <w:rPr>
          <w:sz w:val="24"/>
        </w:rPr>
        <w:t>MS-</w:t>
      </w:r>
      <w:r w:rsidR="00C900B9" w:rsidRPr="00A7529B">
        <w:rPr>
          <w:sz w:val="24"/>
        </w:rPr>
        <w:t>DRGs are affected by this new technology?</w:t>
      </w:r>
      <w:r w:rsidR="00BA5211" w:rsidRPr="00A7529B">
        <w:rPr>
          <w:sz w:val="24"/>
        </w:rPr>
        <w:t xml:space="preserve"> </w:t>
      </w:r>
    </w:p>
    <w:p w:rsidR="00C900B9" w:rsidRDefault="00C900B9">
      <w:pPr>
        <w:pStyle w:val="BodyTextIndent"/>
        <w:numPr>
          <w:ilvl w:val="1"/>
          <w:numId w:val="7"/>
          <w:numberingChange w:id="14" w:author="mady" w:date="2011-09-09T11:32:00Z" w:original="%2:2:4:."/>
        </w:numPr>
        <w:tabs>
          <w:tab w:val="clear" w:pos="2160"/>
          <w:tab w:val="num" w:pos="1620"/>
        </w:tabs>
        <w:spacing w:after="240"/>
        <w:ind w:left="1620"/>
        <w:rPr>
          <w:sz w:val="24"/>
        </w:rPr>
      </w:pPr>
      <w:r w:rsidRPr="00A7529B">
        <w:rPr>
          <w:sz w:val="24"/>
        </w:rPr>
        <w:t xml:space="preserve">What is the anticipated volume of this technology for FY </w:t>
      </w:r>
      <w:r w:rsidR="000F251E" w:rsidRPr="00A7529B">
        <w:rPr>
          <w:sz w:val="24"/>
        </w:rPr>
        <w:t>201</w:t>
      </w:r>
      <w:r w:rsidR="006C25A7">
        <w:rPr>
          <w:sz w:val="24"/>
        </w:rPr>
        <w:t>3</w:t>
      </w:r>
      <w:r w:rsidR="000F251E" w:rsidRPr="00A7529B">
        <w:rPr>
          <w:sz w:val="24"/>
        </w:rPr>
        <w:t xml:space="preserve"> </w:t>
      </w:r>
      <w:r w:rsidRPr="00A7529B">
        <w:rPr>
          <w:sz w:val="24"/>
        </w:rPr>
        <w:t xml:space="preserve">(by </w:t>
      </w:r>
      <w:r w:rsidR="00A7529B">
        <w:rPr>
          <w:sz w:val="24"/>
        </w:rPr>
        <w:t>MS-</w:t>
      </w:r>
      <w:r w:rsidRPr="00A7529B">
        <w:rPr>
          <w:sz w:val="24"/>
        </w:rPr>
        <w:t>DRG)?</w:t>
      </w:r>
      <w:r w:rsidR="00671D83" w:rsidRPr="00A7529B">
        <w:rPr>
          <w:sz w:val="24"/>
        </w:rPr>
        <w:t xml:space="preserve"> Please describe how you arrived at this estimate.</w:t>
      </w:r>
      <w:r w:rsidRPr="00A7529B">
        <w:rPr>
          <w:sz w:val="24"/>
        </w:rPr>
        <w:t xml:space="preserve"> </w:t>
      </w:r>
    </w:p>
    <w:p w:rsidR="00C900B9" w:rsidRDefault="00C900B9" w:rsidP="004A5232">
      <w:pPr>
        <w:pStyle w:val="BodyTextIndent"/>
        <w:numPr>
          <w:ilvl w:val="0"/>
          <w:numId w:val="15"/>
          <w:numberingChange w:id="15" w:author="mady" w:date="2011-09-09T11:32:00Z" w:original="%1:10:0:."/>
        </w:numPr>
        <w:spacing w:after="240"/>
        <w:rPr>
          <w:sz w:val="24"/>
        </w:rPr>
      </w:pPr>
      <w:r>
        <w:rPr>
          <w:sz w:val="24"/>
        </w:rPr>
        <w:t>Please provide all data used to calculate charges and standardized charges per case involving the new technology</w:t>
      </w:r>
      <w:r>
        <w:rPr>
          <w:b/>
          <w:bCs/>
          <w:sz w:val="24"/>
        </w:rPr>
        <w:t xml:space="preserve"> </w:t>
      </w:r>
      <w:r>
        <w:rPr>
          <w:sz w:val="24"/>
        </w:rPr>
        <w:t xml:space="preserve">(in electronic format). </w:t>
      </w:r>
    </w:p>
    <w:p w:rsidR="00C900B9" w:rsidRDefault="00C900B9">
      <w:pPr>
        <w:pStyle w:val="Default"/>
        <w:rPr>
          <w:i/>
          <w:iCs/>
          <w:sz w:val="24"/>
          <w:u w:val="single"/>
        </w:rPr>
      </w:pPr>
      <w:r>
        <w:rPr>
          <w:i/>
          <w:iCs/>
          <w:sz w:val="24"/>
          <w:u w:val="single"/>
        </w:rPr>
        <w:t>Cost Information</w:t>
      </w:r>
    </w:p>
    <w:p w:rsidR="00C900B9" w:rsidRDefault="00C900B9">
      <w:pPr>
        <w:pStyle w:val="Default"/>
        <w:rPr>
          <w:i/>
          <w:iCs/>
          <w:sz w:val="24"/>
          <w:u w:val="single"/>
        </w:rPr>
      </w:pPr>
    </w:p>
    <w:p w:rsidR="00C900B9" w:rsidRDefault="00C900B9" w:rsidP="004A5232">
      <w:pPr>
        <w:pStyle w:val="Default"/>
        <w:numPr>
          <w:ilvl w:val="0"/>
          <w:numId w:val="15"/>
          <w:numberingChange w:id="16" w:author="mady" w:date="2011-09-09T11:32:00Z" w:original="%1:11:0:."/>
        </w:numPr>
        <w:rPr>
          <w:sz w:val="24"/>
          <w:szCs w:val="24"/>
        </w:rPr>
      </w:pPr>
      <w:r>
        <w:rPr>
          <w:sz w:val="24"/>
          <w:szCs w:val="24"/>
        </w:rPr>
        <w:t>What is the (current and/or anticipated) cost of the technology to the hospital, per patient?</w:t>
      </w:r>
    </w:p>
    <w:p w:rsidR="00C900B9" w:rsidRDefault="00C900B9">
      <w:pPr>
        <w:pStyle w:val="Default"/>
        <w:ind w:left="360"/>
        <w:rPr>
          <w:sz w:val="24"/>
          <w:szCs w:val="24"/>
        </w:rPr>
      </w:pPr>
    </w:p>
    <w:p w:rsidR="00C900B9" w:rsidRDefault="00C900B9" w:rsidP="004A5232">
      <w:pPr>
        <w:pStyle w:val="Default"/>
        <w:numPr>
          <w:ilvl w:val="0"/>
          <w:numId w:val="15"/>
          <w:numberingChange w:id="17" w:author="mady" w:date="2011-09-09T11:32:00Z" w:original="%1:12:0:."/>
        </w:numPr>
        <w:spacing w:after="240"/>
        <w:rPr>
          <w:sz w:val="24"/>
          <w:szCs w:val="24"/>
        </w:rPr>
      </w:pPr>
      <w:r>
        <w:rPr>
          <w:sz w:val="24"/>
          <w:szCs w:val="24"/>
        </w:rPr>
        <w:t xml:space="preserve">Please provide a breakdown </w:t>
      </w:r>
      <w:r w:rsidR="00B141D2">
        <w:rPr>
          <w:sz w:val="24"/>
          <w:szCs w:val="24"/>
        </w:rPr>
        <w:t xml:space="preserve">of </w:t>
      </w:r>
      <w:r>
        <w:rPr>
          <w:sz w:val="24"/>
          <w:szCs w:val="24"/>
        </w:rPr>
        <w:t>how the cost of the technology is calculated (</w:t>
      </w:r>
      <w:r w:rsidR="00E12B5C">
        <w:rPr>
          <w:sz w:val="24"/>
          <w:szCs w:val="24"/>
        </w:rPr>
        <w:t>e.g</w:t>
      </w:r>
      <w:r>
        <w:rPr>
          <w:sz w:val="24"/>
          <w:szCs w:val="24"/>
        </w:rPr>
        <w:t>. for drugs, the average dosage or number of units per patient (ml/kg/hr); for devices, a breakdown of the cost of all of the new technology components used per patient, clearly showing which components are the “new” ones).</w:t>
      </w:r>
    </w:p>
    <w:p w:rsidR="00C900B9" w:rsidRDefault="00C900B9">
      <w:pPr>
        <w:spacing w:after="240"/>
      </w:pPr>
      <w:r>
        <w:rPr>
          <w:rFonts w:ascii="TimesNewRoman,Bold" w:hAnsi="TimesNewRoman,Bold"/>
          <w:b/>
          <w:bCs/>
          <w:u w:val="single"/>
        </w:rPr>
        <w:t>Clinical Improvement</w:t>
      </w:r>
      <w:r w:rsidR="00997961">
        <w:rPr>
          <w:rFonts w:ascii="TimesNewRoman,Bold" w:hAnsi="TimesNewRoman,Bold"/>
          <w:b/>
          <w:bCs/>
          <w:u w:val="single"/>
        </w:rPr>
        <w:t xml:space="preserve"> Criterion</w:t>
      </w:r>
      <w:r>
        <w:rPr>
          <w:rFonts w:ascii="TimesNewRoman,Bold" w:hAnsi="TimesNewRoman,Bold"/>
          <w:b/>
          <w:bCs/>
          <w:u w:val="single"/>
        </w:rPr>
        <w:t xml:space="preserve"> </w:t>
      </w:r>
    </w:p>
    <w:p w:rsidR="00C900B9" w:rsidRDefault="00C900B9" w:rsidP="004A5232">
      <w:pPr>
        <w:numPr>
          <w:ilvl w:val="0"/>
          <w:numId w:val="15"/>
          <w:numberingChange w:id="18" w:author="mady" w:date="2011-09-09T11:32:00Z" w:original="%1:13:0:."/>
        </w:numPr>
        <w:spacing w:after="240"/>
      </w:pPr>
      <w:r>
        <w:t>Describe in detail how the new service or technology represents a substantial clinical improvement over existing services or technologies.</w:t>
      </w:r>
      <w:r w:rsidR="00B141D2">
        <w:t xml:space="preserve"> Additional information on the substantial clinical improvement criterion</w:t>
      </w:r>
      <w:r>
        <w:t xml:space="preserve"> </w:t>
      </w:r>
      <w:r w:rsidR="00B141D2">
        <w:t>can be found in the September 7, 2001 Federal Register (66 FR 46913-14)</w:t>
      </w:r>
      <w:r w:rsidR="00E12B5C">
        <w:t xml:space="preserve"> and in the FY 2010 Final Rule (74 FR 43808-43823)</w:t>
      </w:r>
      <w:r w:rsidR="00B141D2">
        <w:t>.</w:t>
      </w:r>
    </w:p>
    <w:p w:rsidR="00C900B9" w:rsidRDefault="00C900B9" w:rsidP="004A5232">
      <w:pPr>
        <w:numPr>
          <w:ilvl w:val="0"/>
          <w:numId w:val="15"/>
          <w:numberingChange w:id="19" w:author="mady" w:date="2011-09-09T11:32:00Z" w:original="%1:14:0:."/>
        </w:numPr>
        <w:spacing w:after="240"/>
      </w:pPr>
      <w:r>
        <w:t xml:space="preserve">Describe relevant clinical trial(s), including dates and findings. </w:t>
      </w:r>
    </w:p>
    <w:p w:rsidR="00C900B9" w:rsidRDefault="00C900B9" w:rsidP="004A5232">
      <w:pPr>
        <w:numPr>
          <w:ilvl w:val="0"/>
          <w:numId w:val="15"/>
          <w:numberingChange w:id="20" w:author="mady" w:date="2011-09-09T11:32:00Z" w:original="%1:15:0:."/>
        </w:numPr>
        <w:spacing w:after="240"/>
      </w:pPr>
      <w:r>
        <w:t>Provide a list and copies of published peer-review</w:t>
      </w:r>
      <w:r w:rsidR="00E12B5C">
        <w:t>ed</w:t>
      </w:r>
      <w:r>
        <w:t xml:space="preserve"> articles relevant to the new service or technology. </w:t>
      </w:r>
    </w:p>
    <w:p w:rsidR="00C900B9" w:rsidRDefault="00C900B9">
      <w:pPr>
        <w:pStyle w:val="Heading1"/>
        <w:rPr>
          <w:rFonts w:ascii="TimesNewRoman,Bold" w:hAnsi="TimesNewRoman,Bold"/>
          <w:b/>
          <w:bCs/>
          <w:sz w:val="24"/>
          <w:u w:val="single"/>
        </w:rPr>
      </w:pPr>
      <w:r>
        <w:rPr>
          <w:rFonts w:ascii="TimesNewRoman,Bold" w:hAnsi="TimesNewRoman,Bold"/>
          <w:b/>
          <w:bCs/>
          <w:sz w:val="24"/>
          <w:u w:val="single"/>
        </w:rPr>
        <w:t>WHERE TO SEND APPLICATIONS</w:t>
      </w:r>
    </w:p>
    <w:p w:rsidR="00C900B9" w:rsidRDefault="00C900B9">
      <w:pPr>
        <w:pStyle w:val="Default"/>
      </w:pPr>
    </w:p>
    <w:p w:rsidR="00C900B9" w:rsidRDefault="00C900B9">
      <w:r>
        <w:t xml:space="preserve">Mail </w:t>
      </w:r>
      <w:r w:rsidR="001A40DA">
        <w:rPr>
          <w:rFonts w:ascii="TimesNewRoman,Bold" w:hAnsi="TimesNewRoman,Bold"/>
          <w:b/>
          <w:bCs/>
          <w:u w:val="single"/>
        </w:rPr>
        <w:t>ten</w:t>
      </w:r>
      <w:r w:rsidRPr="001A40DA">
        <w:rPr>
          <w:rFonts w:ascii="TimesNewRoman,Bold" w:hAnsi="TimesNewRoman,Bold"/>
          <w:b/>
          <w:bCs/>
        </w:rPr>
        <w:t xml:space="preserve"> </w:t>
      </w:r>
      <w:r w:rsidR="001A40DA" w:rsidRPr="001A40DA">
        <w:rPr>
          <w:rFonts w:ascii="TimesNewRoman,Bold" w:hAnsi="TimesNewRoman,Bold"/>
          <w:b/>
          <w:bCs/>
        </w:rPr>
        <w:t>(</w:t>
      </w:r>
      <w:r w:rsidR="001A40DA">
        <w:rPr>
          <w:rFonts w:ascii="TimesNewRoman,Bold" w:hAnsi="TimesNewRoman,Bold"/>
          <w:b/>
          <w:bCs/>
          <w:u w:val="single"/>
        </w:rPr>
        <w:t>10</w:t>
      </w:r>
      <w:r w:rsidR="001A40DA" w:rsidRPr="001A40DA">
        <w:rPr>
          <w:rFonts w:ascii="TimesNewRoman,Bold" w:hAnsi="TimesNewRoman,Bold"/>
          <w:b/>
          <w:bCs/>
        </w:rPr>
        <w:t xml:space="preserve">) </w:t>
      </w:r>
      <w:r>
        <w:t>copies of each completed application to the following address:</w:t>
      </w:r>
    </w:p>
    <w:p w:rsidR="00C900B9" w:rsidRDefault="00C900B9"/>
    <w:p w:rsidR="00C900B9" w:rsidRDefault="00C900B9">
      <w:pPr>
        <w:jc w:val="center"/>
      </w:pPr>
      <w:r>
        <w:t>Inpatient PPS New Medical Services and Technologies</w:t>
      </w:r>
    </w:p>
    <w:p w:rsidR="00C900B9" w:rsidRDefault="00C900B9">
      <w:pPr>
        <w:jc w:val="center"/>
      </w:pPr>
      <w:r>
        <w:t>Division of Acute Care</w:t>
      </w:r>
    </w:p>
    <w:p w:rsidR="00C900B9" w:rsidRDefault="00C900B9">
      <w:pPr>
        <w:jc w:val="center"/>
      </w:pPr>
      <w:r>
        <w:t>Mailstop C4-08-06</w:t>
      </w:r>
    </w:p>
    <w:p w:rsidR="00C900B9" w:rsidRDefault="00C900B9">
      <w:pPr>
        <w:jc w:val="center"/>
      </w:pPr>
      <w:r>
        <w:t>Centers for Medicare and Medicaid Services</w:t>
      </w:r>
    </w:p>
    <w:p w:rsidR="00C900B9" w:rsidRDefault="00C900B9">
      <w:pPr>
        <w:jc w:val="center"/>
      </w:pPr>
      <w:smartTag w:uri="urn:schemas-microsoft-com:office:smarttags" w:element="Street">
        <w:smartTag w:uri="urn:schemas-microsoft-com:office:smarttags" w:element="address">
          <w:r>
            <w:t>7500 Security Boulevard</w:t>
          </w:r>
        </w:smartTag>
      </w:smartTag>
    </w:p>
    <w:p w:rsidR="00C900B9" w:rsidRDefault="00C900B9">
      <w:pPr>
        <w:jc w:val="center"/>
      </w:pPr>
      <w:smartTag w:uri="urn:schemas-microsoft-com:office:smarttags" w:element="place">
        <w:smartTag w:uri="urn:schemas-microsoft-com:office:smarttags" w:element="City">
          <w:r>
            <w:t>Baltimore</w:t>
          </w:r>
        </w:smartTag>
        <w:r>
          <w:t xml:space="preserve">, </w:t>
        </w:r>
        <w:smartTag w:uri="urn:schemas-microsoft-com:office:smarttags" w:element="State">
          <w:r>
            <w:t>MD</w:t>
          </w:r>
        </w:smartTag>
        <w:r>
          <w:t xml:space="preserve"> </w:t>
        </w:r>
        <w:smartTag w:uri="urn:schemas-microsoft-com:office:smarttags" w:element="PostalCode">
          <w:r>
            <w:t>21244-1850</w:t>
          </w:r>
        </w:smartTag>
      </w:smartTag>
    </w:p>
    <w:p w:rsidR="00CF3F20" w:rsidRDefault="00CF3F20">
      <w:pPr>
        <w:jc w:val="center"/>
      </w:pPr>
    </w:p>
    <w:p w:rsidR="00CF3F20" w:rsidRPr="00CF3F20" w:rsidRDefault="00CF3F20" w:rsidP="00CF3F20">
      <w:r w:rsidRPr="00CF3F20">
        <w:t xml:space="preserve">Additionally, please email </w:t>
      </w:r>
      <w:r w:rsidR="0003473F">
        <w:t xml:space="preserve">an electronic </w:t>
      </w:r>
      <w:r w:rsidR="00DB0B0A">
        <w:t>version</w:t>
      </w:r>
      <w:r w:rsidR="0003473F">
        <w:t xml:space="preserve"> of the application and tra</w:t>
      </w:r>
      <w:r w:rsidRPr="00CF3F20">
        <w:t xml:space="preserve">cking form to </w:t>
      </w:r>
      <w:hyperlink r:id="rId15" w:history="1">
        <w:r w:rsidRPr="00CF3F20">
          <w:rPr>
            <w:rStyle w:val="Hyperlink"/>
          </w:rPr>
          <w:t>NewTech@cms.hhs.gov</w:t>
        </w:r>
      </w:hyperlink>
      <w:r w:rsidRPr="00CF3F20">
        <w:rPr>
          <w:color w:val="444444"/>
        </w:rPr>
        <w:t xml:space="preserve">. Applicants should also try and email all relevant </w:t>
      </w:r>
      <w:r>
        <w:rPr>
          <w:color w:val="444444"/>
        </w:rPr>
        <w:t xml:space="preserve">supporting </w:t>
      </w:r>
      <w:r w:rsidRPr="00CF3F20">
        <w:rPr>
          <w:color w:val="444444"/>
        </w:rPr>
        <w:t xml:space="preserve">documentation electronically. Those documents that are too large or cannot be sent electronically should be sent via mail. </w:t>
      </w:r>
    </w:p>
    <w:p w:rsidR="00C900B9" w:rsidRDefault="00C900B9">
      <w:pPr>
        <w:pStyle w:val="BodyTextIndent"/>
        <w:ind w:left="1440" w:hanging="1440"/>
        <w:rPr>
          <w:rFonts w:ascii="TimesNewRoman,Bold" w:hAnsi="TimesNewRoman,Bold"/>
          <w:sz w:val="24"/>
        </w:rPr>
      </w:pPr>
    </w:p>
    <w:p w:rsidR="00C900B9" w:rsidRDefault="00740820">
      <w:pPr>
        <w:pStyle w:val="Default"/>
        <w:rPr>
          <w:b/>
          <w:bCs/>
          <w:sz w:val="24"/>
          <w:szCs w:val="24"/>
          <w:u w:val="single"/>
        </w:rPr>
      </w:pPr>
      <w:r>
        <w:rPr>
          <w:b/>
          <w:bCs/>
          <w:sz w:val="24"/>
          <w:szCs w:val="24"/>
          <w:u w:val="single"/>
        </w:rPr>
        <w:br w:type="page"/>
      </w:r>
      <w:r w:rsidR="00C900B9">
        <w:rPr>
          <w:b/>
          <w:bCs/>
          <w:sz w:val="24"/>
          <w:szCs w:val="24"/>
          <w:u w:val="single"/>
        </w:rPr>
        <w:lastRenderedPageBreak/>
        <w:t>Technical Appendix</w:t>
      </w:r>
      <w:r w:rsidR="001E640A">
        <w:rPr>
          <w:b/>
          <w:bCs/>
          <w:sz w:val="24"/>
          <w:szCs w:val="24"/>
          <w:u w:val="single"/>
        </w:rPr>
        <w:t xml:space="preserve"> A</w:t>
      </w:r>
    </w:p>
    <w:p w:rsidR="00C900B9" w:rsidRDefault="00C900B9">
      <w:pPr>
        <w:pStyle w:val="Default"/>
        <w:rPr>
          <w:b/>
          <w:bCs/>
          <w:sz w:val="24"/>
          <w:szCs w:val="24"/>
          <w:u w:val="single"/>
        </w:rPr>
      </w:pPr>
    </w:p>
    <w:p w:rsidR="00976D61" w:rsidRPr="00745B2B" w:rsidRDefault="00976D61" w:rsidP="00976D61">
      <w:pPr>
        <w:jc w:val="center"/>
        <w:rPr>
          <w:b/>
        </w:rPr>
      </w:pPr>
      <w:r w:rsidRPr="00745B2B">
        <w:rPr>
          <w:b/>
        </w:rPr>
        <w:t>Standardizing Charges</w:t>
      </w:r>
    </w:p>
    <w:p w:rsidR="00976D61" w:rsidRDefault="00976D61" w:rsidP="00976D61">
      <w:pPr>
        <w:jc w:val="center"/>
      </w:pPr>
    </w:p>
    <w:p w:rsidR="00976D61" w:rsidRDefault="00976D61" w:rsidP="00976D61">
      <w:pPr>
        <w:pStyle w:val="Default"/>
        <w:rPr>
          <w:sz w:val="24"/>
          <w:szCs w:val="24"/>
        </w:rPr>
      </w:pPr>
      <w:r>
        <w:rPr>
          <w:sz w:val="24"/>
          <w:szCs w:val="24"/>
        </w:rPr>
        <w:t xml:space="preserve">We standardize charges in order to compare charges equally amongst all hospitals. </w:t>
      </w:r>
      <w:r w:rsidRPr="00DC7193">
        <w:rPr>
          <w:sz w:val="24"/>
          <w:szCs w:val="24"/>
        </w:rPr>
        <w:t>Standardized charges are charges per case minus the wage index, indirect medical education (IME) and disproportionate share hospital (DSH). The formula below explains how to calculate standardized charges per case.</w:t>
      </w:r>
    </w:p>
    <w:p w:rsidR="00976D61" w:rsidRDefault="00976D61" w:rsidP="00976D61">
      <w:pPr>
        <w:pStyle w:val="Default"/>
        <w:rPr>
          <w:sz w:val="24"/>
          <w:szCs w:val="24"/>
        </w:rPr>
      </w:pPr>
    </w:p>
    <w:p w:rsidR="00976D61" w:rsidRDefault="00976D61" w:rsidP="00976D61">
      <w:r>
        <w:t>In order to standardize charges you must obtain hospital specific operating cost-to-charge ratio (CCR), capital CCR, DSH (operating and capital), IME (operating and capital), Wage Index, GAF and COLA.</w:t>
      </w:r>
    </w:p>
    <w:p w:rsidR="00976D61" w:rsidRPr="00DC7193" w:rsidRDefault="00976D61" w:rsidP="00976D61">
      <w:pPr>
        <w:pStyle w:val="Default"/>
        <w:rPr>
          <w:sz w:val="24"/>
          <w:szCs w:val="24"/>
        </w:rPr>
      </w:pPr>
    </w:p>
    <w:p w:rsidR="00976D61" w:rsidRPr="00DC7193" w:rsidRDefault="00976D61" w:rsidP="00976D61">
      <w:r w:rsidRPr="00DC7193">
        <w:rPr>
          <w:b/>
        </w:rPr>
        <w:t>Note</w:t>
      </w:r>
      <w:r w:rsidRPr="00DC7193">
        <w:t xml:space="preserve">: Use all values (DSH, IME etc…) from the fiscal year </w:t>
      </w:r>
      <w:r>
        <w:t xml:space="preserve">that corresponds to the year that </w:t>
      </w:r>
      <w:r w:rsidRPr="00DC7193">
        <w:t>the claim</w:t>
      </w:r>
      <w:r>
        <w:t>(s)</w:t>
      </w:r>
      <w:r w:rsidRPr="00DC7193">
        <w:t xml:space="preserve"> is</w:t>
      </w:r>
      <w:r>
        <w:t>/are</w:t>
      </w:r>
      <w:r w:rsidRPr="00DC7193">
        <w:t xml:space="preserve"> being submitted from including the Labor and Non Labor share percentage. Also, different </w:t>
      </w:r>
      <w:r>
        <w:t xml:space="preserve">labor and non labor </w:t>
      </w:r>
      <w:r w:rsidRPr="00DC7193">
        <w:t>percentages may apply for hospitals with a wage index over or under 1 depending on the fiscal year.</w:t>
      </w:r>
    </w:p>
    <w:p w:rsidR="00976D61" w:rsidRDefault="00976D61" w:rsidP="00976D61">
      <w:pPr>
        <w:ind w:left="360"/>
      </w:pPr>
    </w:p>
    <w:p w:rsidR="00976D61" w:rsidRDefault="00976D61" w:rsidP="00976D61">
      <w:pPr>
        <w:ind w:left="360"/>
      </w:pPr>
    </w:p>
    <w:p w:rsidR="00976D61" w:rsidRPr="0078172C" w:rsidRDefault="00976D61" w:rsidP="00976D61">
      <w:pPr>
        <w:ind w:left="360" w:hanging="360"/>
        <w:rPr>
          <w:b/>
          <w:u w:val="single"/>
        </w:rPr>
      </w:pPr>
      <w:r w:rsidRPr="0078172C">
        <w:rPr>
          <w:b/>
          <w:u w:val="single"/>
        </w:rPr>
        <w:t>Formulae to Standardize Charges:</w:t>
      </w:r>
    </w:p>
    <w:p w:rsidR="00976D61" w:rsidRDefault="00976D61" w:rsidP="00976D61">
      <w:pPr>
        <w:ind w:left="360" w:hanging="360"/>
        <w:rPr>
          <w:b/>
          <w:u w:val="single"/>
        </w:rPr>
      </w:pPr>
    </w:p>
    <w:p w:rsidR="00976D61" w:rsidRPr="0078172C" w:rsidRDefault="00976D61" w:rsidP="00976D61">
      <w:pPr>
        <w:ind w:left="360" w:hanging="360"/>
        <w:rPr>
          <w:b/>
        </w:rPr>
      </w:pPr>
      <w:r w:rsidRPr="0078172C">
        <w:rPr>
          <w:b/>
        </w:rPr>
        <w:t>Capital Charges</w:t>
      </w:r>
    </w:p>
    <w:p w:rsidR="00976D61" w:rsidRDefault="00976D61" w:rsidP="00976D61">
      <w:pPr>
        <w:ind w:left="360"/>
      </w:pPr>
    </w:p>
    <w:p w:rsidR="00976D61" w:rsidRPr="006C47E0" w:rsidRDefault="00976D61" w:rsidP="00976D61">
      <w:pPr>
        <w:ind w:left="360"/>
        <w:rPr>
          <w:b/>
        </w:rPr>
      </w:pPr>
      <w:r w:rsidRPr="006C47E0">
        <w:rPr>
          <w:b/>
        </w:rPr>
        <w:t>The formula to calculate the Capital Standardized Charge is below.</w:t>
      </w:r>
    </w:p>
    <w:p w:rsidR="00976D61" w:rsidRDefault="00976D61" w:rsidP="00976D61">
      <w:pPr>
        <w:ind w:left="360"/>
      </w:pPr>
    </w:p>
    <w:p w:rsidR="00976D61" w:rsidRDefault="00976D61" w:rsidP="00976D61">
      <w:pPr>
        <w:numPr>
          <w:ilvl w:val="0"/>
          <w:numId w:val="8"/>
        </w:numPr>
      </w:pPr>
      <w:r>
        <w:t>Capital Standardized Charge = ((((Capital CCR/(Capital CCR + Operating CCR)) * Covered Charges) / (1 + Capital IME + Capital DSH)) / GAF) / (1 +(0.3152*(COLA-1)))</w:t>
      </w:r>
    </w:p>
    <w:p w:rsidR="00976D61" w:rsidRDefault="00976D61" w:rsidP="00976D61"/>
    <w:p w:rsidR="00976D61" w:rsidRDefault="00976D61" w:rsidP="00976D61">
      <w:pPr>
        <w:rPr>
          <w:b/>
        </w:rPr>
      </w:pPr>
      <w:r w:rsidRPr="0078172C">
        <w:rPr>
          <w:b/>
        </w:rPr>
        <w:t>Operating Charges</w:t>
      </w:r>
    </w:p>
    <w:p w:rsidR="00976D61" w:rsidRDefault="00976D61" w:rsidP="00976D61">
      <w:pPr>
        <w:rPr>
          <w:b/>
        </w:rPr>
      </w:pPr>
    </w:p>
    <w:p w:rsidR="00976D61" w:rsidRPr="0078172C" w:rsidRDefault="00976D61" w:rsidP="00976D61">
      <w:pPr>
        <w:ind w:left="360"/>
        <w:rPr>
          <w:b/>
        </w:rPr>
      </w:pPr>
      <w:r>
        <w:rPr>
          <w:b/>
        </w:rPr>
        <w:t xml:space="preserve">The formula to calculate the operating standardized charge is a two step process; first you must calculate the Adjusted Operating Charge (AOC) then use the calculated AOC to compute the Operating Standardized Charge. </w:t>
      </w:r>
    </w:p>
    <w:p w:rsidR="00976D61" w:rsidRPr="006A193D" w:rsidRDefault="00976D61" w:rsidP="00976D61">
      <w:pPr>
        <w:rPr>
          <w:b/>
          <w:u w:val="single"/>
        </w:rPr>
      </w:pPr>
    </w:p>
    <w:p w:rsidR="00976D61" w:rsidRDefault="00976D61" w:rsidP="00976D61">
      <w:pPr>
        <w:numPr>
          <w:ilvl w:val="0"/>
          <w:numId w:val="8"/>
        </w:numPr>
      </w:pPr>
      <w:r>
        <w:t>Adjusted Operating Charge (AOC) = ((Operating CCR / (Capital CCR + Operating CCR)) * Covered Charges) / (1 + Operating IME + Operating DSH)</w:t>
      </w:r>
    </w:p>
    <w:p w:rsidR="00976D61" w:rsidRDefault="00976D61" w:rsidP="00976D61">
      <w:r>
        <w:tab/>
      </w:r>
    </w:p>
    <w:p w:rsidR="00976D61" w:rsidRDefault="00976D61" w:rsidP="00976D61">
      <w:r>
        <w:tab/>
        <w:t xml:space="preserve">If wage index greater than 1: </w:t>
      </w:r>
    </w:p>
    <w:p w:rsidR="00976D61" w:rsidRDefault="00976D61" w:rsidP="00976D61"/>
    <w:p w:rsidR="00976D61" w:rsidRDefault="00976D61" w:rsidP="00976D61">
      <w:pPr>
        <w:numPr>
          <w:ilvl w:val="2"/>
          <w:numId w:val="9"/>
          <w:numberingChange w:id="21" w:author="mady" w:date="2011-09-09T11:32:00Z" w:original="%3:1:2:)"/>
        </w:numPr>
      </w:pPr>
      <w:r>
        <w:t>Operating Standardized Charge = ((AOC* Labor Share %) / wage index) + ((AOC * Non Labor Share %) / COLA)</w:t>
      </w:r>
    </w:p>
    <w:p w:rsidR="00976D61" w:rsidRDefault="00976D61" w:rsidP="00976D61">
      <w:pPr>
        <w:ind w:left="720"/>
      </w:pPr>
    </w:p>
    <w:p w:rsidR="00976D61" w:rsidRDefault="00976D61" w:rsidP="00976D61">
      <w:pPr>
        <w:ind w:left="720"/>
      </w:pPr>
      <w:r>
        <w:t>If wage index less than 1:</w:t>
      </w:r>
    </w:p>
    <w:p w:rsidR="00976D61" w:rsidRDefault="00976D61" w:rsidP="00976D61">
      <w:pPr>
        <w:ind w:left="720"/>
      </w:pPr>
    </w:p>
    <w:p w:rsidR="00976D61" w:rsidRDefault="00976D61" w:rsidP="00976D61">
      <w:pPr>
        <w:numPr>
          <w:ilvl w:val="2"/>
          <w:numId w:val="9"/>
          <w:numberingChange w:id="22" w:author="mady" w:date="2011-09-09T11:32:00Z" w:original="%3:2:2:)"/>
        </w:numPr>
      </w:pPr>
      <w:r>
        <w:lastRenderedPageBreak/>
        <w:t>Operating Standardized Charge = ((AOC * .62) / wage index) + ((AOC * .38) / COLA)</w:t>
      </w:r>
    </w:p>
    <w:p w:rsidR="00976D61" w:rsidRDefault="00976D61" w:rsidP="00976D61"/>
    <w:p w:rsidR="00976D61" w:rsidRDefault="00976D61" w:rsidP="00976D61">
      <w:pPr>
        <w:rPr>
          <w:b/>
        </w:rPr>
      </w:pPr>
      <w:r w:rsidRPr="0078172C">
        <w:rPr>
          <w:b/>
        </w:rPr>
        <w:t xml:space="preserve">Total Standardized Charges </w:t>
      </w:r>
    </w:p>
    <w:p w:rsidR="00976D61" w:rsidRDefault="00976D61" w:rsidP="00976D61">
      <w:pPr>
        <w:rPr>
          <w:b/>
        </w:rPr>
      </w:pPr>
    </w:p>
    <w:p w:rsidR="00976D61" w:rsidRPr="0078172C" w:rsidRDefault="00976D61" w:rsidP="00976D61">
      <w:pPr>
        <w:ind w:firstLine="360"/>
        <w:rPr>
          <w:b/>
        </w:rPr>
      </w:pPr>
      <w:r>
        <w:rPr>
          <w:b/>
        </w:rPr>
        <w:t>The formula to calculate Total Standardized Charges is below</w:t>
      </w:r>
    </w:p>
    <w:p w:rsidR="00976D61" w:rsidRDefault="00976D61" w:rsidP="00976D61"/>
    <w:p w:rsidR="00976D61" w:rsidRDefault="00976D61" w:rsidP="00976D61">
      <w:pPr>
        <w:numPr>
          <w:ilvl w:val="0"/>
          <w:numId w:val="10"/>
          <w:numberingChange w:id="23" w:author="mady" w:date="2011-09-09T11:32:00Z" w:original="%1:3:0:)"/>
        </w:numPr>
      </w:pPr>
      <w:r>
        <w:t>Standardize Charges = Capital Standardize Charges + Operating Standardized Charges</w:t>
      </w:r>
    </w:p>
    <w:p w:rsidR="00976D61" w:rsidRDefault="00976D61" w:rsidP="00976D61"/>
    <w:p w:rsidR="00976D61" w:rsidRDefault="00976D61" w:rsidP="00976D61">
      <w:pPr>
        <w:pStyle w:val="Heading1"/>
        <w:rPr>
          <w:i/>
          <w:iCs/>
          <w:sz w:val="24"/>
          <w:u w:val="single"/>
        </w:rPr>
      </w:pPr>
      <w:r>
        <w:rPr>
          <w:i/>
          <w:iCs/>
          <w:sz w:val="24"/>
          <w:u w:val="single"/>
        </w:rPr>
        <w:t>Definition Key</w:t>
      </w:r>
    </w:p>
    <w:p w:rsidR="00976D61" w:rsidRDefault="00976D61" w:rsidP="00976D61">
      <w:pPr>
        <w:pStyle w:val="Default"/>
      </w:pPr>
    </w:p>
    <w:p w:rsidR="00976D61" w:rsidRDefault="00976D61" w:rsidP="00976D61">
      <w:r>
        <w:t>-The Labor share percentages and Non Labor share percentages can be obtained from Table 1A of the annual IPPS final rule.</w:t>
      </w:r>
    </w:p>
    <w:p w:rsidR="00976D61" w:rsidRDefault="00976D61" w:rsidP="00976D61">
      <w:r>
        <w:t xml:space="preserve">-COLA is always equal to 1, except for hospitals in </w:t>
      </w:r>
      <w:smartTag w:uri="urn:schemas-microsoft-com:office:smarttags" w:element="State">
        <w:r>
          <w:t>Alaska</w:t>
        </w:r>
      </w:smartTag>
      <w:r>
        <w:t xml:space="preserve"> and </w:t>
      </w:r>
      <w:smartTag w:uri="urn:schemas-microsoft-com:office:smarttags" w:element="place">
        <w:smartTag w:uri="urn:schemas-microsoft-com:office:smarttags" w:element="State">
          <w:r>
            <w:t>Hawaii</w:t>
          </w:r>
        </w:smartTag>
      </w:smartTag>
      <w:r>
        <w:t>.</w:t>
      </w:r>
    </w:p>
    <w:p w:rsidR="00976D61" w:rsidRDefault="00976D61" w:rsidP="00976D61">
      <w:r>
        <w:t>-Operating CCR, capital CCR, DSH (operating and capital), IME (operating and capital), Wage Index, GAF and COLA values by provider can be obtained by downloading the Public Use Files at:</w:t>
      </w:r>
    </w:p>
    <w:p w:rsidR="00CF3F20" w:rsidRDefault="00287EBF" w:rsidP="00976D61">
      <w:hyperlink r:id="rId16" w:anchor="TopOfPage" w:history="1">
        <w:r w:rsidR="00976D61" w:rsidRPr="00E6643C">
          <w:rPr>
            <w:rStyle w:val="Hyperlink"/>
          </w:rPr>
          <w:t>http://www.cms.hhs.gov/AcuteInpatientPPS/FFD/list.asp#TopOfPage</w:t>
        </w:r>
      </w:hyperlink>
      <w:r w:rsidR="00976D61">
        <w:t xml:space="preserve"> or </w:t>
      </w:r>
      <w:hyperlink r:id="rId17" w:anchor="TopOfPage" w:history="1">
        <w:r w:rsidR="00976D61" w:rsidRPr="00E6643C">
          <w:rPr>
            <w:rStyle w:val="Hyperlink"/>
          </w:rPr>
          <w:t>http://www.cms.hhs.gov/AcuteInpatientPPS/HIF/list.asp#TopOfPage</w:t>
        </w:r>
      </w:hyperlink>
      <w:r w:rsidR="00976D61">
        <w:t xml:space="preserve"> </w:t>
      </w:r>
    </w:p>
    <w:p w:rsidR="001E640A" w:rsidRDefault="00CF3F20" w:rsidP="00976D61">
      <w:r>
        <w:br w:type="page"/>
      </w:r>
      <w:r w:rsidR="001E640A">
        <w:rPr>
          <w:b/>
          <w:bCs/>
          <w:u w:val="single"/>
        </w:rPr>
        <w:lastRenderedPageBreak/>
        <w:t xml:space="preserve">Technical Appendix </w:t>
      </w:r>
      <w:r w:rsidR="00DB0B0A">
        <w:rPr>
          <w:b/>
          <w:bCs/>
          <w:u w:val="single"/>
        </w:rPr>
        <w:t>B</w:t>
      </w:r>
    </w:p>
    <w:p w:rsidR="001E640A" w:rsidRDefault="001E640A" w:rsidP="00976D61"/>
    <w:p w:rsidR="00402018" w:rsidRDefault="00CF3F20" w:rsidP="00402018">
      <w:pPr>
        <w:jc w:val="center"/>
        <w:rPr>
          <w:b/>
        </w:rPr>
      </w:pPr>
      <w:r w:rsidRPr="001E640A">
        <w:rPr>
          <w:b/>
        </w:rPr>
        <w:t xml:space="preserve">Example of </w:t>
      </w:r>
      <w:r w:rsidR="00A12586" w:rsidRPr="001E640A">
        <w:rPr>
          <w:b/>
        </w:rPr>
        <w:t xml:space="preserve">How to Submit </w:t>
      </w:r>
      <w:r w:rsidR="001E640A">
        <w:rPr>
          <w:b/>
        </w:rPr>
        <w:t xml:space="preserve">and Case Weight </w:t>
      </w:r>
      <w:r w:rsidR="00A12586" w:rsidRPr="001E640A">
        <w:rPr>
          <w:b/>
        </w:rPr>
        <w:t>Data for Cost Criteri</w:t>
      </w:r>
      <w:r w:rsidR="00632BEF">
        <w:rPr>
          <w:b/>
        </w:rPr>
        <w:t>on</w:t>
      </w:r>
    </w:p>
    <w:p w:rsidR="00402018" w:rsidRDefault="00402018" w:rsidP="00402018">
      <w:pPr>
        <w:jc w:val="center"/>
        <w:rPr>
          <w:b/>
        </w:rPr>
      </w:pPr>
    </w:p>
    <w:p w:rsidR="006145AF" w:rsidRPr="00632BEF" w:rsidRDefault="00BA1BAF" w:rsidP="00632BEF">
      <w:r>
        <w:t>As explained above, a</w:t>
      </w:r>
      <w:r w:rsidR="006145AF" w:rsidRPr="00A12586">
        <w:t>pplicants must meet a “cost threshold”.</w:t>
      </w:r>
      <w:r>
        <w:t xml:space="preserve"> </w:t>
      </w:r>
      <w:r w:rsidR="006145AF" w:rsidRPr="00BA1BAF">
        <w:t>The applicant submits data to CMS verifying that the average charge per case exceeds the MS-DRG threshold published in Table 10 of the IPPS final rule.</w:t>
      </w:r>
      <w:r>
        <w:t xml:space="preserve"> </w:t>
      </w:r>
      <w:r w:rsidR="006145AF" w:rsidRPr="00BA1BAF">
        <w:t xml:space="preserve">If </w:t>
      </w:r>
      <w:r w:rsidR="00402018">
        <w:t xml:space="preserve">the </w:t>
      </w:r>
      <w:r w:rsidR="006145AF" w:rsidRPr="00BA1BAF">
        <w:t xml:space="preserve">technology is across multiple MS-DRGs then the case-weighted average </w:t>
      </w:r>
      <w:r w:rsidR="00402018">
        <w:t xml:space="preserve">standardized </w:t>
      </w:r>
      <w:r w:rsidR="006145AF" w:rsidRPr="00BA1BAF">
        <w:t xml:space="preserve">charge per case must exceed the case-weighted threshold by MS-DRG. </w:t>
      </w:r>
      <w:r w:rsidR="006145AF" w:rsidRPr="00632BEF">
        <w:t>Applicants can submit a sample of data demonstrating they meet the cost criteria using multiple source(s) such as:</w:t>
      </w:r>
      <w:r w:rsidR="00632BEF">
        <w:t xml:space="preserve"> MedPAR, </w:t>
      </w:r>
      <w:r w:rsidR="006145AF" w:rsidRPr="00632BEF">
        <w:t>Clinical Trial Claims Data</w:t>
      </w:r>
      <w:r w:rsidR="00632BEF">
        <w:t xml:space="preserve">, </w:t>
      </w:r>
      <w:r w:rsidR="006145AF" w:rsidRPr="00632BEF">
        <w:t xml:space="preserve">External (non MedPAR) data; Premier, other non Medicare claims databases, actual claims the manufacturer collects from hospitals. </w:t>
      </w:r>
    </w:p>
    <w:p w:rsidR="00632BEF" w:rsidRDefault="00632BEF" w:rsidP="00632BEF"/>
    <w:p w:rsidR="006145AF" w:rsidRPr="00402018" w:rsidRDefault="00BA1BAF" w:rsidP="00632BEF">
      <w:pPr>
        <w:rPr>
          <w:b/>
        </w:rPr>
      </w:pPr>
      <w:r>
        <w:t xml:space="preserve">Below is an example of a technology that maps to more than one </w:t>
      </w:r>
      <w:r w:rsidR="00A7529B">
        <w:t>MS-</w:t>
      </w:r>
      <w:r>
        <w:t>DRG. The threshold and average standardized charge per case are weighted based on the percentage of cases that maps to each MS-DRG.</w:t>
      </w:r>
    </w:p>
    <w:p w:rsidR="006145AF" w:rsidRDefault="006145AF" w:rsidP="00BA1BAF"/>
    <w:tbl>
      <w:tblPr>
        <w:tblW w:w="9053" w:type="dxa"/>
        <w:tblCellMar>
          <w:left w:w="0" w:type="dxa"/>
          <w:right w:w="0" w:type="dxa"/>
        </w:tblCellMar>
        <w:tblLook w:val="04A0"/>
      </w:tblPr>
      <w:tblGrid>
        <w:gridCol w:w="1246"/>
        <w:gridCol w:w="994"/>
        <w:gridCol w:w="1347"/>
        <w:gridCol w:w="1423"/>
        <w:gridCol w:w="1423"/>
        <w:gridCol w:w="1273"/>
        <w:gridCol w:w="1347"/>
      </w:tblGrid>
      <w:tr w:rsidR="00BA1BAF" w:rsidRPr="00BA1BAF" w:rsidTr="00BA1BAF">
        <w:trPr>
          <w:trHeight w:val="1193"/>
        </w:trPr>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MS-</w:t>
            </w:r>
            <w:r>
              <w:rPr>
                <w:rFonts w:ascii="Arial" w:hAnsi="Arial" w:cs="Arial"/>
                <w:b/>
                <w:bCs/>
                <w:color w:val="000000"/>
                <w:kern w:val="24"/>
                <w:sz w:val="20"/>
                <w:szCs w:val="20"/>
              </w:rPr>
              <w:t>DRG</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Cases</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Case</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Weighted</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Amount</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Table 10</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Threshold</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Table 10</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Case</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Weighted</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Threshold</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Stdz.</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 xml:space="preserve">Charges </w:t>
            </w:r>
          </w:p>
        </w:tc>
        <w:tc>
          <w:tcPr>
            <w:tcW w:w="0" w:type="auto"/>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Stdz.</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Charges</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Case</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Weighted</w:t>
            </w:r>
          </w:p>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b/>
                <w:bCs/>
                <w:color w:val="000000"/>
                <w:kern w:val="24"/>
                <w:sz w:val="20"/>
                <w:szCs w:val="20"/>
              </w:rPr>
              <w:t>Amount</w:t>
            </w:r>
            <w:r w:rsidRPr="00BA1BAF">
              <w:rPr>
                <w:color w:val="000000"/>
                <w:kern w:val="24"/>
                <w:sz w:val="20"/>
                <w:szCs w:val="20"/>
              </w:rPr>
              <w:t xml:space="preserve"> </w:t>
            </w:r>
          </w:p>
        </w:tc>
      </w:tr>
      <w:tr w:rsidR="00BA1BAF" w:rsidRPr="00BA1BAF" w:rsidTr="00BA1BAF">
        <w:trPr>
          <w:trHeight w:val="54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color w:val="000000"/>
                <w:kern w:val="24"/>
                <w:sz w:val="20"/>
                <w:szCs w:val="20"/>
              </w:rPr>
              <w:t>220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20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40.0%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 xml:space="preserve">$93,832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$37,533</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$110,000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$44,000</w:t>
            </w:r>
            <w:r w:rsidRPr="00BA1BAF">
              <w:rPr>
                <w:color w:val="000000"/>
                <w:kern w:val="24"/>
                <w:sz w:val="20"/>
                <w:szCs w:val="20"/>
              </w:rPr>
              <w:t xml:space="preserve"> </w:t>
            </w:r>
          </w:p>
        </w:tc>
      </w:tr>
      <w:tr w:rsidR="00BA1BAF" w:rsidRPr="00BA1BAF" w:rsidTr="00BA1BAF">
        <w:trPr>
          <w:trHeight w:val="732"/>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center"/>
              <w:textAlignment w:val="bottom"/>
              <w:rPr>
                <w:rFonts w:ascii="Arial" w:hAnsi="Arial" w:cs="Arial"/>
                <w:sz w:val="20"/>
                <w:szCs w:val="20"/>
              </w:rPr>
            </w:pPr>
            <w:r w:rsidRPr="00BA1BAF">
              <w:rPr>
                <w:rFonts w:ascii="Arial" w:hAnsi="Arial" w:cs="Arial"/>
                <w:color w:val="000000"/>
                <w:kern w:val="24"/>
                <w:sz w:val="20"/>
                <w:szCs w:val="20"/>
              </w:rPr>
              <w:t>221</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30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60.0%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 xml:space="preserve">$81,272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$48,763</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$90,000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$54,000</w:t>
            </w:r>
            <w:r w:rsidRPr="00BA1BAF">
              <w:rPr>
                <w:color w:val="000000"/>
                <w:kern w:val="24"/>
                <w:sz w:val="20"/>
                <w:szCs w:val="20"/>
              </w:rPr>
              <w:t xml:space="preserve"> </w:t>
            </w:r>
          </w:p>
        </w:tc>
      </w:tr>
      <w:tr w:rsidR="00BA1BAF" w:rsidRPr="00BA1BAF" w:rsidTr="00BA1BAF">
        <w:trPr>
          <w:trHeight w:val="733"/>
        </w:trPr>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textAlignment w:val="bottom"/>
              <w:rPr>
                <w:rFonts w:ascii="Arial" w:hAnsi="Arial" w:cs="Arial"/>
                <w:sz w:val="20"/>
                <w:szCs w:val="20"/>
              </w:rPr>
            </w:pPr>
            <w:r w:rsidRPr="00BA1BAF">
              <w:rPr>
                <w:rFonts w:ascii="Arial" w:hAnsi="Arial" w:cs="Arial"/>
                <w:b/>
                <w:bCs/>
                <w:color w:val="000000"/>
                <w:kern w:val="24"/>
                <w:sz w:val="20"/>
                <w:szCs w:val="20"/>
              </w:rPr>
              <w:t>Total</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50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100%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$175,104</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b/>
                <w:bCs/>
                <w:color w:val="000000"/>
                <w:kern w:val="24"/>
                <w:sz w:val="20"/>
                <w:szCs w:val="20"/>
              </w:rPr>
              <w:t>$86,296</w:t>
            </w:r>
            <w:r w:rsidRPr="00BA1BAF">
              <w:rPr>
                <w:b/>
                <w:bCs/>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color w:val="000000"/>
                <w:kern w:val="24"/>
                <w:sz w:val="20"/>
                <w:szCs w:val="20"/>
              </w:rPr>
              <w:t>$200,000</w:t>
            </w:r>
            <w:r w:rsidRPr="00BA1BAF">
              <w:rPr>
                <w:color w:val="000000"/>
                <w:kern w:val="24"/>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00FFFF"/>
            <w:tcMar>
              <w:top w:w="72" w:type="dxa"/>
              <w:left w:w="144" w:type="dxa"/>
              <w:bottom w:w="72" w:type="dxa"/>
              <w:right w:w="144" w:type="dxa"/>
            </w:tcMar>
            <w:vAlign w:val="bottom"/>
          </w:tcPr>
          <w:p w:rsidR="00BA1BAF" w:rsidRPr="00BA1BAF" w:rsidRDefault="00BA1BAF" w:rsidP="00BA1BAF">
            <w:pPr>
              <w:kinsoku w:val="0"/>
              <w:overflowPunct w:val="0"/>
              <w:ind w:left="547" w:hanging="547"/>
              <w:jc w:val="right"/>
              <w:textAlignment w:val="bottom"/>
              <w:rPr>
                <w:rFonts w:ascii="Arial" w:hAnsi="Arial" w:cs="Arial"/>
                <w:sz w:val="20"/>
                <w:szCs w:val="20"/>
              </w:rPr>
            </w:pPr>
            <w:r w:rsidRPr="00BA1BAF">
              <w:rPr>
                <w:rFonts w:ascii="Arial" w:hAnsi="Arial" w:cs="Arial"/>
                <w:b/>
                <w:bCs/>
                <w:color w:val="000000"/>
                <w:kern w:val="24"/>
                <w:sz w:val="20"/>
                <w:szCs w:val="20"/>
              </w:rPr>
              <w:t>$98,000</w:t>
            </w:r>
            <w:r w:rsidRPr="00BA1BAF">
              <w:rPr>
                <w:b/>
                <w:bCs/>
                <w:color w:val="000000"/>
                <w:kern w:val="24"/>
                <w:sz w:val="20"/>
                <w:szCs w:val="20"/>
              </w:rPr>
              <w:t xml:space="preserve"> </w:t>
            </w:r>
          </w:p>
        </w:tc>
      </w:tr>
    </w:tbl>
    <w:p w:rsidR="00BA1BAF" w:rsidRPr="00BA1BAF" w:rsidRDefault="00BA1BAF" w:rsidP="00BA1BAF"/>
    <w:p w:rsidR="00A12586" w:rsidRPr="000A24FB" w:rsidRDefault="00A12586" w:rsidP="00976D61"/>
    <w:p w:rsidR="00BA1BAF" w:rsidRPr="00BA1BAF" w:rsidRDefault="00BA1BAF" w:rsidP="00BA1BAF">
      <w:r w:rsidRPr="00BA1BAF">
        <w:t xml:space="preserve">Because the average case-weighted </w:t>
      </w:r>
      <w:r w:rsidR="00203AA2">
        <w:t xml:space="preserve">standardized </w:t>
      </w:r>
      <w:r w:rsidRPr="00BA1BAF">
        <w:t>charge per case</w:t>
      </w:r>
      <w:r w:rsidR="00203AA2">
        <w:t xml:space="preserve"> of $98,000</w:t>
      </w:r>
      <w:r w:rsidRPr="00BA1BAF">
        <w:t xml:space="preserve"> exceeds the case weighted MS-DRG threshold</w:t>
      </w:r>
      <w:r w:rsidR="00203AA2">
        <w:t xml:space="preserve"> of $86,296</w:t>
      </w:r>
      <w:r w:rsidRPr="00BA1BAF">
        <w:t xml:space="preserve">, the technology would meet the cost criterion. </w:t>
      </w:r>
    </w:p>
    <w:p w:rsidR="00C900B9" w:rsidRDefault="00C900B9"/>
    <w:p w:rsidR="00C900B9" w:rsidRDefault="00C900B9">
      <w:pPr>
        <w:pStyle w:val="BodyTextIndent"/>
        <w:spacing w:after="240"/>
      </w:pPr>
    </w:p>
    <w:sectPr w:rsidR="00C900B9" w:rsidSect="00E36DD6">
      <w:footerReference w:type="default" r:id="rId18"/>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C34" w:rsidRDefault="00514C34">
      <w:r>
        <w:separator/>
      </w:r>
    </w:p>
  </w:endnote>
  <w:endnote w:type="continuationSeparator" w:id="0">
    <w:p w:rsidR="00514C34" w:rsidRDefault="00514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sig w:usb0="00000000" w:usb1="00000000" w:usb2="00000000" w:usb3="00000000" w:csb0="00000000"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w:altName w:val="Book Antiqua"/>
    <w:charset w:val="00"/>
    <w:family w:val="auto"/>
    <w:pitch w:val="variable"/>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5C" w:rsidRDefault="00E12B5C">
    <w:pPr>
      <w:pStyle w:val="Footer"/>
      <w:rPr>
        <w:b/>
        <w:bCs/>
        <w:sz w:val="23"/>
      </w:rPr>
    </w:pPr>
    <w:r>
      <w:rPr>
        <w:b/>
        <w:bCs/>
        <w:sz w:val="23"/>
      </w:rPr>
      <w:t>Note:  Data provided in this application or in the tracking form may become subject to disclosure.  If you are providing data or information that is proprietary or otherwise protected from disclosure under the Trade Secrets Act or Exemption 4 under the Freedom of Information Act, please mark this information as such.  CMS will attempt, to the extent allowed by Federal law, to keep this information protected from public view.</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C34" w:rsidRDefault="00514C34">
      <w:r>
        <w:separator/>
      </w:r>
    </w:p>
  </w:footnote>
  <w:footnote w:type="continuationSeparator" w:id="0">
    <w:p w:rsidR="00514C34" w:rsidRDefault="00514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221A7A59"/>
    <w:multiLevelType w:val="hybridMultilevel"/>
    <w:tmpl w:val="1304D876"/>
    <w:lvl w:ilvl="0" w:tplc="0409000F">
      <w:start w:val="1"/>
      <w:numFmt w:val="decimal"/>
      <w:lvlText w:val="%1."/>
      <w:lvlJc w:val="left"/>
      <w:pPr>
        <w:tabs>
          <w:tab w:val="num" w:pos="721"/>
        </w:tabs>
        <w:ind w:left="721" w:hanging="360"/>
      </w:p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2">
    <w:nsid w:val="326E72C3"/>
    <w:multiLevelType w:val="hybridMultilevel"/>
    <w:tmpl w:val="48F8BE00"/>
    <w:lvl w:ilvl="0" w:tplc="BB1CBCFE">
      <w:start w:val="1"/>
      <w:numFmt w:val="bullet"/>
      <w:lvlText w:val="l"/>
      <w:lvlJc w:val="left"/>
      <w:pPr>
        <w:tabs>
          <w:tab w:val="num" w:pos="720"/>
        </w:tabs>
        <w:ind w:left="720" w:hanging="360"/>
      </w:pPr>
      <w:rPr>
        <w:rFonts w:ascii="Monotype Sorts" w:hAnsi="Monotype Sorts" w:hint="default"/>
      </w:rPr>
    </w:lvl>
    <w:lvl w:ilvl="1" w:tplc="DAC44F80" w:tentative="1">
      <w:start w:val="1"/>
      <w:numFmt w:val="bullet"/>
      <w:lvlText w:val="l"/>
      <w:lvlJc w:val="left"/>
      <w:pPr>
        <w:tabs>
          <w:tab w:val="num" w:pos="1440"/>
        </w:tabs>
        <w:ind w:left="1440" w:hanging="360"/>
      </w:pPr>
      <w:rPr>
        <w:rFonts w:ascii="Monotype Sorts" w:hAnsi="Monotype Sorts" w:hint="default"/>
      </w:rPr>
    </w:lvl>
    <w:lvl w:ilvl="2" w:tplc="32902C70" w:tentative="1">
      <w:start w:val="1"/>
      <w:numFmt w:val="bullet"/>
      <w:lvlText w:val="l"/>
      <w:lvlJc w:val="left"/>
      <w:pPr>
        <w:tabs>
          <w:tab w:val="num" w:pos="2160"/>
        </w:tabs>
        <w:ind w:left="2160" w:hanging="360"/>
      </w:pPr>
      <w:rPr>
        <w:rFonts w:ascii="Monotype Sorts" w:hAnsi="Monotype Sorts" w:hint="default"/>
      </w:rPr>
    </w:lvl>
    <w:lvl w:ilvl="3" w:tplc="1CC069F0" w:tentative="1">
      <w:start w:val="1"/>
      <w:numFmt w:val="bullet"/>
      <w:lvlText w:val="l"/>
      <w:lvlJc w:val="left"/>
      <w:pPr>
        <w:tabs>
          <w:tab w:val="num" w:pos="2880"/>
        </w:tabs>
        <w:ind w:left="2880" w:hanging="360"/>
      </w:pPr>
      <w:rPr>
        <w:rFonts w:ascii="Monotype Sorts" w:hAnsi="Monotype Sorts" w:hint="default"/>
      </w:rPr>
    </w:lvl>
    <w:lvl w:ilvl="4" w:tplc="76B2E528" w:tentative="1">
      <w:start w:val="1"/>
      <w:numFmt w:val="bullet"/>
      <w:lvlText w:val="l"/>
      <w:lvlJc w:val="left"/>
      <w:pPr>
        <w:tabs>
          <w:tab w:val="num" w:pos="3600"/>
        </w:tabs>
        <w:ind w:left="3600" w:hanging="360"/>
      </w:pPr>
      <w:rPr>
        <w:rFonts w:ascii="Monotype Sorts" w:hAnsi="Monotype Sorts" w:hint="default"/>
      </w:rPr>
    </w:lvl>
    <w:lvl w:ilvl="5" w:tplc="E4AA05D0" w:tentative="1">
      <w:start w:val="1"/>
      <w:numFmt w:val="bullet"/>
      <w:lvlText w:val="l"/>
      <w:lvlJc w:val="left"/>
      <w:pPr>
        <w:tabs>
          <w:tab w:val="num" w:pos="4320"/>
        </w:tabs>
        <w:ind w:left="4320" w:hanging="360"/>
      </w:pPr>
      <w:rPr>
        <w:rFonts w:ascii="Monotype Sorts" w:hAnsi="Monotype Sorts" w:hint="default"/>
      </w:rPr>
    </w:lvl>
    <w:lvl w:ilvl="6" w:tplc="6CA6BA2A" w:tentative="1">
      <w:start w:val="1"/>
      <w:numFmt w:val="bullet"/>
      <w:lvlText w:val="l"/>
      <w:lvlJc w:val="left"/>
      <w:pPr>
        <w:tabs>
          <w:tab w:val="num" w:pos="5040"/>
        </w:tabs>
        <w:ind w:left="5040" w:hanging="360"/>
      </w:pPr>
      <w:rPr>
        <w:rFonts w:ascii="Monotype Sorts" w:hAnsi="Monotype Sorts" w:hint="default"/>
      </w:rPr>
    </w:lvl>
    <w:lvl w:ilvl="7" w:tplc="951E3334" w:tentative="1">
      <w:start w:val="1"/>
      <w:numFmt w:val="bullet"/>
      <w:lvlText w:val="l"/>
      <w:lvlJc w:val="left"/>
      <w:pPr>
        <w:tabs>
          <w:tab w:val="num" w:pos="5760"/>
        </w:tabs>
        <w:ind w:left="5760" w:hanging="360"/>
      </w:pPr>
      <w:rPr>
        <w:rFonts w:ascii="Monotype Sorts" w:hAnsi="Monotype Sorts" w:hint="default"/>
      </w:rPr>
    </w:lvl>
    <w:lvl w:ilvl="8" w:tplc="B4DE16B2" w:tentative="1">
      <w:start w:val="1"/>
      <w:numFmt w:val="bullet"/>
      <w:lvlText w:val="l"/>
      <w:lvlJc w:val="left"/>
      <w:pPr>
        <w:tabs>
          <w:tab w:val="num" w:pos="6480"/>
        </w:tabs>
        <w:ind w:left="6480" w:hanging="360"/>
      </w:pPr>
      <w:rPr>
        <w:rFonts w:ascii="Monotype Sorts" w:hAnsi="Monotype Sorts" w:hint="default"/>
      </w:rPr>
    </w:lvl>
  </w:abstractNum>
  <w:abstractNum w:abstractNumId="3">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38351B27"/>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9E1154"/>
    <w:multiLevelType w:val="hybridMultilevel"/>
    <w:tmpl w:val="D2BAB7A2"/>
    <w:lvl w:ilvl="0" w:tplc="568C8C02">
      <w:start w:val="1"/>
      <w:numFmt w:val="bullet"/>
      <w:lvlText w:val="l"/>
      <w:lvlJc w:val="left"/>
      <w:pPr>
        <w:tabs>
          <w:tab w:val="num" w:pos="720"/>
        </w:tabs>
        <w:ind w:left="720" w:hanging="360"/>
      </w:pPr>
      <w:rPr>
        <w:rFonts w:ascii="Monotype Sorts" w:hAnsi="Monotype Sorts" w:hint="default"/>
      </w:rPr>
    </w:lvl>
    <w:lvl w:ilvl="1" w:tplc="8D7AFF5C" w:tentative="1">
      <w:start w:val="1"/>
      <w:numFmt w:val="bullet"/>
      <w:lvlText w:val="l"/>
      <w:lvlJc w:val="left"/>
      <w:pPr>
        <w:tabs>
          <w:tab w:val="num" w:pos="1440"/>
        </w:tabs>
        <w:ind w:left="1440" w:hanging="360"/>
      </w:pPr>
      <w:rPr>
        <w:rFonts w:ascii="Monotype Sorts" w:hAnsi="Monotype Sorts" w:hint="default"/>
      </w:rPr>
    </w:lvl>
    <w:lvl w:ilvl="2" w:tplc="2EA4C27E" w:tentative="1">
      <w:start w:val="1"/>
      <w:numFmt w:val="bullet"/>
      <w:lvlText w:val="l"/>
      <w:lvlJc w:val="left"/>
      <w:pPr>
        <w:tabs>
          <w:tab w:val="num" w:pos="2160"/>
        </w:tabs>
        <w:ind w:left="2160" w:hanging="360"/>
      </w:pPr>
      <w:rPr>
        <w:rFonts w:ascii="Monotype Sorts" w:hAnsi="Monotype Sorts" w:hint="default"/>
      </w:rPr>
    </w:lvl>
    <w:lvl w:ilvl="3" w:tplc="D5B2AD42" w:tentative="1">
      <w:start w:val="1"/>
      <w:numFmt w:val="bullet"/>
      <w:lvlText w:val="l"/>
      <w:lvlJc w:val="left"/>
      <w:pPr>
        <w:tabs>
          <w:tab w:val="num" w:pos="2880"/>
        </w:tabs>
        <w:ind w:left="2880" w:hanging="360"/>
      </w:pPr>
      <w:rPr>
        <w:rFonts w:ascii="Monotype Sorts" w:hAnsi="Monotype Sorts" w:hint="default"/>
      </w:rPr>
    </w:lvl>
    <w:lvl w:ilvl="4" w:tplc="661A5C3E" w:tentative="1">
      <w:start w:val="1"/>
      <w:numFmt w:val="bullet"/>
      <w:lvlText w:val="l"/>
      <w:lvlJc w:val="left"/>
      <w:pPr>
        <w:tabs>
          <w:tab w:val="num" w:pos="3600"/>
        </w:tabs>
        <w:ind w:left="3600" w:hanging="360"/>
      </w:pPr>
      <w:rPr>
        <w:rFonts w:ascii="Monotype Sorts" w:hAnsi="Monotype Sorts" w:hint="default"/>
      </w:rPr>
    </w:lvl>
    <w:lvl w:ilvl="5" w:tplc="31284B7A" w:tentative="1">
      <w:start w:val="1"/>
      <w:numFmt w:val="bullet"/>
      <w:lvlText w:val="l"/>
      <w:lvlJc w:val="left"/>
      <w:pPr>
        <w:tabs>
          <w:tab w:val="num" w:pos="4320"/>
        </w:tabs>
        <w:ind w:left="4320" w:hanging="360"/>
      </w:pPr>
      <w:rPr>
        <w:rFonts w:ascii="Monotype Sorts" w:hAnsi="Monotype Sorts" w:hint="default"/>
      </w:rPr>
    </w:lvl>
    <w:lvl w:ilvl="6" w:tplc="E55EDBB8" w:tentative="1">
      <w:start w:val="1"/>
      <w:numFmt w:val="bullet"/>
      <w:lvlText w:val="l"/>
      <w:lvlJc w:val="left"/>
      <w:pPr>
        <w:tabs>
          <w:tab w:val="num" w:pos="5040"/>
        </w:tabs>
        <w:ind w:left="5040" w:hanging="360"/>
      </w:pPr>
      <w:rPr>
        <w:rFonts w:ascii="Monotype Sorts" w:hAnsi="Monotype Sorts" w:hint="default"/>
      </w:rPr>
    </w:lvl>
    <w:lvl w:ilvl="7" w:tplc="B5D07A2E" w:tentative="1">
      <w:start w:val="1"/>
      <w:numFmt w:val="bullet"/>
      <w:lvlText w:val="l"/>
      <w:lvlJc w:val="left"/>
      <w:pPr>
        <w:tabs>
          <w:tab w:val="num" w:pos="5760"/>
        </w:tabs>
        <w:ind w:left="5760" w:hanging="360"/>
      </w:pPr>
      <w:rPr>
        <w:rFonts w:ascii="Monotype Sorts" w:hAnsi="Monotype Sorts" w:hint="default"/>
      </w:rPr>
    </w:lvl>
    <w:lvl w:ilvl="8" w:tplc="D15A262C" w:tentative="1">
      <w:start w:val="1"/>
      <w:numFmt w:val="bullet"/>
      <w:lvlText w:val="l"/>
      <w:lvlJc w:val="left"/>
      <w:pPr>
        <w:tabs>
          <w:tab w:val="num" w:pos="6480"/>
        </w:tabs>
        <w:ind w:left="6480" w:hanging="360"/>
      </w:pPr>
      <w:rPr>
        <w:rFonts w:ascii="Monotype Sorts" w:hAnsi="Monotype Sorts" w:hint="default"/>
      </w:rPr>
    </w:lvl>
  </w:abstractNum>
  <w:abstractNum w:abstractNumId="6">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7396768"/>
    <w:multiLevelType w:val="hybridMultilevel"/>
    <w:tmpl w:val="80D6388C"/>
    <w:lvl w:ilvl="0" w:tplc="B1A69C1A">
      <w:start w:val="1"/>
      <w:numFmt w:val="bullet"/>
      <w:lvlText w:val="l"/>
      <w:lvlJc w:val="left"/>
      <w:pPr>
        <w:tabs>
          <w:tab w:val="num" w:pos="720"/>
        </w:tabs>
        <w:ind w:left="720" w:hanging="360"/>
      </w:pPr>
      <w:rPr>
        <w:rFonts w:ascii="Monotype Sorts" w:hAnsi="Monotype Sorts" w:hint="default"/>
      </w:rPr>
    </w:lvl>
    <w:lvl w:ilvl="1" w:tplc="25D01B1A" w:tentative="1">
      <w:start w:val="1"/>
      <w:numFmt w:val="bullet"/>
      <w:lvlText w:val="l"/>
      <w:lvlJc w:val="left"/>
      <w:pPr>
        <w:tabs>
          <w:tab w:val="num" w:pos="1440"/>
        </w:tabs>
        <w:ind w:left="1440" w:hanging="360"/>
      </w:pPr>
      <w:rPr>
        <w:rFonts w:ascii="Monotype Sorts" w:hAnsi="Monotype Sorts" w:hint="default"/>
      </w:rPr>
    </w:lvl>
    <w:lvl w:ilvl="2" w:tplc="23FE2EA0" w:tentative="1">
      <w:start w:val="1"/>
      <w:numFmt w:val="bullet"/>
      <w:lvlText w:val="l"/>
      <w:lvlJc w:val="left"/>
      <w:pPr>
        <w:tabs>
          <w:tab w:val="num" w:pos="2160"/>
        </w:tabs>
        <w:ind w:left="2160" w:hanging="360"/>
      </w:pPr>
      <w:rPr>
        <w:rFonts w:ascii="Monotype Sorts" w:hAnsi="Monotype Sorts" w:hint="default"/>
      </w:rPr>
    </w:lvl>
    <w:lvl w:ilvl="3" w:tplc="170C778C" w:tentative="1">
      <w:start w:val="1"/>
      <w:numFmt w:val="bullet"/>
      <w:lvlText w:val="l"/>
      <w:lvlJc w:val="left"/>
      <w:pPr>
        <w:tabs>
          <w:tab w:val="num" w:pos="2880"/>
        </w:tabs>
        <w:ind w:left="2880" w:hanging="360"/>
      </w:pPr>
      <w:rPr>
        <w:rFonts w:ascii="Monotype Sorts" w:hAnsi="Monotype Sorts" w:hint="default"/>
      </w:rPr>
    </w:lvl>
    <w:lvl w:ilvl="4" w:tplc="D7D6C976" w:tentative="1">
      <w:start w:val="1"/>
      <w:numFmt w:val="bullet"/>
      <w:lvlText w:val="l"/>
      <w:lvlJc w:val="left"/>
      <w:pPr>
        <w:tabs>
          <w:tab w:val="num" w:pos="3600"/>
        </w:tabs>
        <w:ind w:left="3600" w:hanging="360"/>
      </w:pPr>
      <w:rPr>
        <w:rFonts w:ascii="Monotype Sorts" w:hAnsi="Monotype Sorts" w:hint="default"/>
      </w:rPr>
    </w:lvl>
    <w:lvl w:ilvl="5" w:tplc="677A29F6" w:tentative="1">
      <w:start w:val="1"/>
      <w:numFmt w:val="bullet"/>
      <w:lvlText w:val="l"/>
      <w:lvlJc w:val="left"/>
      <w:pPr>
        <w:tabs>
          <w:tab w:val="num" w:pos="4320"/>
        </w:tabs>
        <w:ind w:left="4320" w:hanging="360"/>
      </w:pPr>
      <w:rPr>
        <w:rFonts w:ascii="Monotype Sorts" w:hAnsi="Monotype Sorts" w:hint="default"/>
      </w:rPr>
    </w:lvl>
    <w:lvl w:ilvl="6" w:tplc="22600DA8" w:tentative="1">
      <w:start w:val="1"/>
      <w:numFmt w:val="bullet"/>
      <w:lvlText w:val="l"/>
      <w:lvlJc w:val="left"/>
      <w:pPr>
        <w:tabs>
          <w:tab w:val="num" w:pos="5040"/>
        </w:tabs>
        <w:ind w:left="5040" w:hanging="360"/>
      </w:pPr>
      <w:rPr>
        <w:rFonts w:ascii="Monotype Sorts" w:hAnsi="Monotype Sorts" w:hint="default"/>
      </w:rPr>
    </w:lvl>
    <w:lvl w:ilvl="7" w:tplc="6AACA0E0" w:tentative="1">
      <w:start w:val="1"/>
      <w:numFmt w:val="bullet"/>
      <w:lvlText w:val="l"/>
      <w:lvlJc w:val="left"/>
      <w:pPr>
        <w:tabs>
          <w:tab w:val="num" w:pos="5760"/>
        </w:tabs>
        <w:ind w:left="5760" w:hanging="360"/>
      </w:pPr>
      <w:rPr>
        <w:rFonts w:ascii="Monotype Sorts" w:hAnsi="Monotype Sorts" w:hint="default"/>
      </w:rPr>
    </w:lvl>
    <w:lvl w:ilvl="8" w:tplc="53B0DC80" w:tentative="1">
      <w:start w:val="1"/>
      <w:numFmt w:val="bullet"/>
      <w:lvlText w:val="l"/>
      <w:lvlJc w:val="left"/>
      <w:pPr>
        <w:tabs>
          <w:tab w:val="num" w:pos="6480"/>
        </w:tabs>
        <w:ind w:left="6480" w:hanging="360"/>
      </w:pPr>
      <w:rPr>
        <w:rFonts w:ascii="Monotype Sorts" w:hAnsi="Monotype Sorts" w:hint="default"/>
      </w:rPr>
    </w:lvl>
  </w:abstractNum>
  <w:abstractNum w:abstractNumId="9">
    <w:nsid w:val="5ADE436C"/>
    <w:multiLevelType w:val="hybridMultilevel"/>
    <w:tmpl w:val="7B889DBC"/>
    <w:lvl w:ilvl="0" w:tplc="0409000F">
      <w:start w:val="1"/>
      <w:numFmt w:val="decimal"/>
      <w:lvlText w:val="%1."/>
      <w:lvlJc w:val="left"/>
      <w:pPr>
        <w:tabs>
          <w:tab w:val="num" w:pos="721"/>
        </w:tabs>
        <w:ind w:left="721" w:hanging="360"/>
      </w:pPr>
    </w:lvl>
    <w:lvl w:ilvl="1" w:tplc="04090019" w:tentative="1">
      <w:start w:val="1"/>
      <w:numFmt w:val="lowerLetter"/>
      <w:lvlText w:val="%2."/>
      <w:lvlJc w:val="left"/>
      <w:pPr>
        <w:tabs>
          <w:tab w:val="num" w:pos="1441"/>
        </w:tabs>
        <w:ind w:left="1441" w:hanging="360"/>
      </w:pPr>
    </w:lvl>
    <w:lvl w:ilvl="2" w:tplc="0409001B" w:tentative="1">
      <w:start w:val="1"/>
      <w:numFmt w:val="lowerRoman"/>
      <w:lvlText w:val="%3."/>
      <w:lvlJc w:val="right"/>
      <w:pPr>
        <w:tabs>
          <w:tab w:val="num" w:pos="2161"/>
        </w:tabs>
        <w:ind w:left="2161" w:hanging="180"/>
      </w:pPr>
    </w:lvl>
    <w:lvl w:ilvl="3" w:tplc="0409000F" w:tentative="1">
      <w:start w:val="1"/>
      <w:numFmt w:val="decimal"/>
      <w:lvlText w:val="%4."/>
      <w:lvlJc w:val="left"/>
      <w:pPr>
        <w:tabs>
          <w:tab w:val="num" w:pos="2881"/>
        </w:tabs>
        <w:ind w:left="2881" w:hanging="360"/>
      </w:pPr>
    </w:lvl>
    <w:lvl w:ilvl="4" w:tplc="04090019" w:tentative="1">
      <w:start w:val="1"/>
      <w:numFmt w:val="lowerLetter"/>
      <w:lvlText w:val="%5."/>
      <w:lvlJc w:val="left"/>
      <w:pPr>
        <w:tabs>
          <w:tab w:val="num" w:pos="3601"/>
        </w:tabs>
        <w:ind w:left="3601" w:hanging="360"/>
      </w:pPr>
    </w:lvl>
    <w:lvl w:ilvl="5" w:tplc="0409001B" w:tentative="1">
      <w:start w:val="1"/>
      <w:numFmt w:val="lowerRoman"/>
      <w:lvlText w:val="%6."/>
      <w:lvlJc w:val="right"/>
      <w:pPr>
        <w:tabs>
          <w:tab w:val="num" w:pos="4321"/>
        </w:tabs>
        <w:ind w:left="4321" w:hanging="180"/>
      </w:pPr>
    </w:lvl>
    <w:lvl w:ilvl="6" w:tplc="0409000F" w:tentative="1">
      <w:start w:val="1"/>
      <w:numFmt w:val="decimal"/>
      <w:lvlText w:val="%7."/>
      <w:lvlJc w:val="left"/>
      <w:pPr>
        <w:tabs>
          <w:tab w:val="num" w:pos="5041"/>
        </w:tabs>
        <w:ind w:left="5041" w:hanging="360"/>
      </w:pPr>
    </w:lvl>
    <w:lvl w:ilvl="7" w:tplc="04090019" w:tentative="1">
      <w:start w:val="1"/>
      <w:numFmt w:val="lowerLetter"/>
      <w:lvlText w:val="%8."/>
      <w:lvlJc w:val="left"/>
      <w:pPr>
        <w:tabs>
          <w:tab w:val="num" w:pos="5761"/>
        </w:tabs>
        <w:ind w:left="5761" w:hanging="360"/>
      </w:pPr>
    </w:lvl>
    <w:lvl w:ilvl="8" w:tplc="0409001B" w:tentative="1">
      <w:start w:val="1"/>
      <w:numFmt w:val="lowerRoman"/>
      <w:lvlText w:val="%9."/>
      <w:lvlJc w:val="right"/>
      <w:pPr>
        <w:tabs>
          <w:tab w:val="num" w:pos="6481"/>
        </w:tabs>
        <w:ind w:left="6481" w:hanging="180"/>
      </w:pPr>
    </w:lvl>
  </w:abstractNum>
  <w:abstractNum w:abstractNumId="10">
    <w:nsid w:val="5DBC2FF3"/>
    <w:multiLevelType w:val="hybridMultilevel"/>
    <w:tmpl w:val="711844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DE7BF4"/>
    <w:multiLevelType w:val="hybridMultilevel"/>
    <w:tmpl w:val="15C470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780AC5"/>
    <w:multiLevelType w:val="hybridMultilevel"/>
    <w:tmpl w:val="9790D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9F0701"/>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E65EAF"/>
    <w:multiLevelType w:val="hybridMultilevel"/>
    <w:tmpl w:val="47F4A776"/>
    <w:lvl w:ilvl="0" w:tplc="C890F4A6">
      <w:start w:val="1"/>
      <w:numFmt w:val="bullet"/>
      <w:lvlText w:val="l"/>
      <w:lvlJc w:val="left"/>
      <w:pPr>
        <w:tabs>
          <w:tab w:val="num" w:pos="720"/>
        </w:tabs>
        <w:ind w:left="720" w:hanging="360"/>
      </w:pPr>
      <w:rPr>
        <w:rFonts w:ascii="Monotype Sorts" w:hAnsi="Monotype Sorts" w:hint="default"/>
      </w:rPr>
    </w:lvl>
    <w:lvl w:ilvl="1" w:tplc="1FE85934">
      <w:start w:val="324"/>
      <w:numFmt w:val="bullet"/>
      <w:lvlText w:val="'"/>
      <w:lvlJc w:val="left"/>
      <w:pPr>
        <w:tabs>
          <w:tab w:val="num" w:pos="1440"/>
        </w:tabs>
        <w:ind w:left="1440" w:hanging="360"/>
      </w:pPr>
      <w:rPr>
        <w:rFonts w:ascii="WP IconicSymbolsB" w:hAnsi="WP IconicSymbolsB" w:hint="default"/>
      </w:rPr>
    </w:lvl>
    <w:lvl w:ilvl="2" w:tplc="71507814" w:tentative="1">
      <w:start w:val="1"/>
      <w:numFmt w:val="bullet"/>
      <w:lvlText w:val="l"/>
      <w:lvlJc w:val="left"/>
      <w:pPr>
        <w:tabs>
          <w:tab w:val="num" w:pos="2160"/>
        </w:tabs>
        <w:ind w:left="2160" w:hanging="360"/>
      </w:pPr>
      <w:rPr>
        <w:rFonts w:ascii="Monotype Sorts" w:hAnsi="Monotype Sorts" w:hint="default"/>
      </w:rPr>
    </w:lvl>
    <w:lvl w:ilvl="3" w:tplc="27762DB4" w:tentative="1">
      <w:start w:val="1"/>
      <w:numFmt w:val="bullet"/>
      <w:lvlText w:val="l"/>
      <w:lvlJc w:val="left"/>
      <w:pPr>
        <w:tabs>
          <w:tab w:val="num" w:pos="2880"/>
        </w:tabs>
        <w:ind w:left="2880" w:hanging="360"/>
      </w:pPr>
      <w:rPr>
        <w:rFonts w:ascii="Monotype Sorts" w:hAnsi="Monotype Sorts" w:hint="default"/>
      </w:rPr>
    </w:lvl>
    <w:lvl w:ilvl="4" w:tplc="E0047CB6" w:tentative="1">
      <w:start w:val="1"/>
      <w:numFmt w:val="bullet"/>
      <w:lvlText w:val="l"/>
      <w:lvlJc w:val="left"/>
      <w:pPr>
        <w:tabs>
          <w:tab w:val="num" w:pos="3600"/>
        </w:tabs>
        <w:ind w:left="3600" w:hanging="360"/>
      </w:pPr>
      <w:rPr>
        <w:rFonts w:ascii="Monotype Sorts" w:hAnsi="Monotype Sorts" w:hint="default"/>
      </w:rPr>
    </w:lvl>
    <w:lvl w:ilvl="5" w:tplc="BC208876" w:tentative="1">
      <w:start w:val="1"/>
      <w:numFmt w:val="bullet"/>
      <w:lvlText w:val="l"/>
      <w:lvlJc w:val="left"/>
      <w:pPr>
        <w:tabs>
          <w:tab w:val="num" w:pos="4320"/>
        </w:tabs>
        <w:ind w:left="4320" w:hanging="360"/>
      </w:pPr>
      <w:rPr>
        <w:rFonts w:ascii="Monotype Sorts" w:hAnsi="Monotype Sorts" w:hint="default"/>
      </w:rPr>
    </w:lvl>
    <w:lvl w:ilvl="6" w:tplc="C23C12F0" w:tentative="1">
      <w:start w:val="1"/>
      <w:numFmt w:val="bullet"/>
      <w:lvlText w:val="l"/>
      <w:lvlJc w:val="left"/>
      <w:pPr>
        <w:tabs>
          <w:tab w:val="num" w:pos="5040"/>
        </w:tabs>
        <w:ind w:left="5040" w:hanging="360"/>
      </w:pPr>
      <w:rPr>
        <w:rFonts w:ascii="Monotype Sorts" w:hAnsi="Monotype Sorts" w:hint="default"/>
      </w:rPr>
    </w:lvl>
    <w:lvl w:ilvl="7" w:tplc="E92A8B80" w:tentative="1">
      <w:start w:val="1"/>
      <w:numFmt w:val="bullet"/>
      <w:lvlText w:val="l"/>
      <w:lvlJc w:val="left"/>
      <w:pPr>
        <w:tabs>
          <w:tab w:val="num" w:pos="5760"/>
        </w:tabs>
        <w:ind w:left="5760" w:hanging="360"/>
      </w:pPr>
      <w:rPr>
        <w:rFonts w:ascii="Monotype Sorts" w:hAnsi="Monotype Sorts" w:hint="default"/>
      </w:rPr>
    </w:lvl>
    <w:lvl w:ilvl="8" w:tplc="238C000C" w:tentative="1">
      <w:start w:val="1"/>
      <w:numFmt w:val="bullet"/>
      <w:lvlText w:val="l"/>
      <w:lvlJc w:val="left"/>
      <w:pPr>
        <w:tabs>
          <w:tab w:val="num" w:pos="6480"/>
        </w:tabs>
        <w:ind w:left="6480" w:hanging="360"/>
      </w:pPr>
      <w:rPr>
        <w:rFonts w:ascii="Monotype Sorts" w:hAnsi="Monotype Sorts" w:hint="default"/>
      </w:rPr>
    </w:lvl>
  </w:abstractNum>
  <w:num w:numId="1">
    <w:abstractNumId w:val="11"/>
  </w:num>
  <w:num w:numId="2">
    <w:abstractNumId w:val="13"/>
  </w:num>
  <w:num w:numId="3">
    <w:abstractNumId w:val="1"/>
  </w:num>
  <w:num w:numId="4">
    <w:abstractNumId w:val="9"/>
  </w:num>
  <w:num w:numId="5">
    <w:abstractNumId w:val="10"/>
  </w:num>
  <w:num w:numId="6">
    <w:abstractNumId w:val="12"/>
  </w:num>
  <w:num w:numId="7">
    <w:abstractNumId w:val="3"/>
  </w:num>
  <w:num w:numId="8">
    <w:abstractNumId w:val="6"/>
  </w:num>
  <w:num w:numId="9">
    <w:abstractNumId w:val="7"/>
  </w:num>
  <w:num w:numId="10">
    <w:abstractNumId w:val="0"/>
  </w:num>
  <w:num w:numId="11">
    <w:abstractNumId w:val="2"/>
  </w:num>
  <w:num w:numId="12">
    <w:abstractNumId w:val="5"/>
  </w:num>
  <w:num w:numId="13">
    <w:abstractNumId w:val="8"/>
  </w:num>
  <w:num w:numId="14">
    <w:abstractNumId w:val="1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5972"/>
    <w:rsid w:val="00021DA6"/>
    <w:rsid w:val="0003473F"/>
    <w:rsid w:val="0006327F"/>
    <w:rsid w:val="000F251E"/>
    <w:rsid w:val="001001B8"/>
    <w:rsid w:val="001042E2"/>
    <w:rsid w:val="001667CF"/>
    <w:rsid w:val="001A40DA"/>
    <w:rsid w:val="001E2BC2"/>
    <w:rsid w:val="001E640A"/>
    <w:rsid w:val="00203AA2"/>
    <w:rsid w:val="00287EBF"/>
    <w:rsid w:val="00290ADF"/>
    <w:rsid w:val="002A233A"/>
    <w:rsid w:val="00303FB7"/>
    <w:rsid w:val="0033525B"/>
    <w:rsid w:val="003601E9"/>
    <w:rsid w:val="00390F92"/>
    <w:rsid w:val="003E3595"/>
    <w:rsid w:val="003E6B6C"/>
    <w:rsid w:val="003F2712"/>
    <w:rsid w:val="00402018"/>
    <w:rsid w:val="004050B5"/>
    <w:rsid w:val="0044389E"/>
    <w:rsid w:val="00464F00"/>
    <w:rsid w:val="00472A78"/>
    <w:rsid w:val="004A5232"/>
    <w:rsid w:val="004B4426"/>
    <w:rsid w:val="00514C34"/>
    <w:rsid w:val="00551E78"/>
    <w:rsid w:val="00574A25"/>
    <w:rsid w:val="00594DED"/>
    <w:rsid w:val="005A3FF5"/>
    <w:rsid w:val="005D3E67"/>
    <w:rsid w:val="006145AF"/>
    <w:rsid w:val="00632BEF"/>
    <w:rsid w:val="00635D09"/>
    <w:rsid w:val="00651759"/>
    <w:rsid w:val="00671D83"/>
    <w:rsid w:val="006724E2"/>
    <w:rsid w:val="006B5CCD"/>
    <w:rsid w:val="006C25A7"/>
    <w:rsid w:val="006F144F"/>
    <w:rsid w:val="00724EB7"/>
    <w:rsid w:val="00740820"/>
    <w:rsid w:val="007F054B"/>
    <w:rsid w:val="007F5C85"/>
    <w:rsid w:val="00912E82"/>
    <w:rsid w:val="00934DF8"/>
    <w:rsid w:val="00976D61"/>
    <w:rsid w:val="00997961"/>
    <w:rsid w:val="00A12586"/>
    <w:rsid w:val="00A74D0C"/>
    <w:rsid w:val="00A7529B"/>
    <w:rsid w:val="00AF500D"/>
    <w:rsid w:val="00B141D2"/>
    <w:rsid w:val="00BA1BAF"/>
    <w:rsid w:val="00BA5211"/>
    <w:rsid w:val="00BD6182"/>
    <w:rsid w:val="00C57416"/>
    <w:rsid w:val="00C900B9"/>
    <w:rsid w:val="00C93534"/>
    <w:rsid w:val="00CF3F20"/>
    <w:rsid w:val="00D206BD"/>
    <w:rsid w:val="00D258F2"/>
    <w:rsid w:val="00D3763C"/>
    <w:rsid w:val="00D70EB2"/>
    <w:rsid w:val="00DB0B0A"/>
    <w:rsid w:val="00DC7193"/>
    <w:rsid w:val="00DD49B5"/>
    <w:rsid w:val="00DE3930"/>
    <w:rsid w:val="00E12B5C"/>
    <w:rsid w:val="00E15E16"/>
    <w:rsid w:val="00E36DD6"/>
    <w:rsid w:val="00E554FE"/>
    <w:rsid w:val="00ED2605"/>
    <w:rsid w:val="00F45EAF"/>
    <w:rsid w:val="00F72218"/>
    <w:rsid w:val="00FA5972"/>
    <w:rsid w:val="00FB5A3E"/>
    <w:rsid w:val="00FC210C"/>
    <w:rsid w:val="00FD01B8"/>
    <w:rsid w:val="00FD3838"/>
    <w:rsid w:val="00FE75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6DD6"/>
    <w:rPr>
      <w:sz w:val="24"/>
      <w:szCs w:val="24"/>
    </w:rPr>
  </w:style>
  <w:style w:type="paragraph" w:styleId="Heading1">
    <w:name w:val="heading 1"/>
    <w:basedOn w:val="Default"/>
    <w:next w:val="Default"/>
    <w:qFormat/>
    <w:rsid w:val="00E36DD6"/>
    <w:pPr>
      <w:outlineLvl w:val="0"/>
    </w:pPr>
    <w:rPr>
      <w:szCs w:val="24"/>
    </w:rPr>
  </w:style>
  <w:style w:type="paragraph" w:styleId="Heading2">
    <w:name w:val="heading 2"/>
    <w:basedOn w:val="Normal"/>
    <w:next w:val="Normal"/>
    <w:qFormat/>
    <w:rsid w:val="00E36DD6"/>
    <w:pPr>
      <w:keepNext/>
      <w:spacing w:after="240"/>
      <w:outlineLvl w:val="1"/>
    </w:pPr>
    <w:rPr>
      <w:rFonts w:ascii="TimesNewRoman,Bold" w:hAnsi="TimesNewRoman,Bold"/>
      <w:b/>
      <w:bCs/>
      <w:color w:val="000000"/>
      <w:u w:val="single"/>
    </w:rPr>
  </w:style>
  <w:style w:type="paragraph" w:styleId="Heading3">
    <w:name w:val="heading 3"/>
    <w:basedOn w:val="Normal"/>
    <w:next w:val="Normal"/>
    <w:qFormat/>
    <w:rsid w:val="00E36DD6"/>
    <w:pPr>
      <w:keepNext/>
      <w:outlineLvl w:val="2"/>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6DD6"/>
    <w:pPr>
      <w:autoSpaceDE w:val="0"/>
      <w:autoSpaceDN w:val="0"/>
      <w:adjustRightInd w:val="0"/>
    </w:pPr>
    <w:rPr>
      <w:rFonts w:ascii="TimesNewRoman" w:hAnsi="TimesNewRoman"/>
    </w:rPr>
  </w:style>
  <w:style w:type="paragraph" w:styleId="BodyText">
    <w:name w:val="Body Text"/>
    <w:basedOn w:val="Default"/>
    <w:next w:val="Default"/>
    <w:rsid w:val="00E36DD6"/>
    <w:rPr>
      <w:szCs w:val="24"/>
    </w:rPr>
  </w:style>
  <w:style w:type="paragraph" w:styleId="BodyTextIndent">
    <w:name w:val="Body Text Indent"/>
    <w:basedOn w:val="Default"/>
    <w:next w:val="Default"/>
    <w:rsid w:val="00E36DD6"/>
    <w:rPr>
      <w:szCs w:val="24"/>
    </w:rPr>
  </w:style>
  <w:style w:type="paragraph" w:styleId="FootnoteText">
    <w:name w:val="footnote text"/>
    <w:basedOn w:val="Default"/>
    <w:next w:val="Default"/>
    <w:semiHidden/>
    <w:rsid w:val="00E36DD6"/>
    <w:rPr>
      <w:szCs w:val="24"/>
    </w:rPr>
  </w:style>
  <w:style w:type="paragraph" w:styleId="BodyText2">
    <w:name w:val="Body Text 2"/>
    <w:basedOn w:val="Normal"/>
    <w:rsid w:val="00E36DD6"/>
    <w:pPr>
      <w:spacing w:after="240"/>
    </w:pPr>
    <w:rPr>
      <w:color w:val="000000"/>
    </w:rPr>
  </w:style>
  <w:style w:type="character" w:styleId="Hyperlink">
    <w:name w:val="Hyperlink"/>
    <w:basedOn w:val="DefaultParagraphFont"/>
    <w:rsid w:val="00E36DD6"/>
    <w:rPr>
      <w:color w:val="0000FF"/>
      <w:u w:val="single"/>
    </w:rPr>
  </w:style>
  <w:style w:type="character" w:styleId="FollowedHyperlink">
    <w:name w:val="FollowedHyperlink"/>
    <w:basedOn w:val="DefaultParagraphFont"/>
    <w:rsid w:val="00E36DD6"/>
    <w:rPr>
      <w:color w:val="800080"/>
      <w:u w:val="single"/>
    </w:rPr>
  </w:style>
  <w:style w:type="paragraph" w:styleId="NormalWeb">
    <w:name w:val="Normal (Web)"/>
    <w:basedOn w:val="Normal"/>
    <w:uiPriority w:val="99"/>
    <w:rsid w:val="00E36DD6"/>
    <w:pPr>
      <w:spacing w:after="300"/>
    </w:pPr>
    <w:rPr>
      <w:rFonts w:ascii="Verdana" w:hAnsi="Verdana"/>
      <w:sz w:val="20"/>
      <w:szCs w:val="20"/>
    </w:rPr>
  </w:style>
  <w:style w:type="paragraph" w:styleId="Header">
    <w:name w:val="header"/>
    <w:basedOn w:val="Normal"/>
    <w:rsid w:val="00E36DD6"/>
    <w:pPr>
      <w:tabs>
        <w:tab w:val="center" w:pos="4320"/>
        <w:tab w:val="right" w:pos="8640"/>
      </w:tabs>
    </w:pPr>
  </w:style>
  <w:style w:type="paragraph" w:styleId="Footer">
    <w:name w:val="footer"/>
    <w:basedOn w:val="Normal"/>
    <w:rsid w:val="00E36DD6"/>
    <w:pPr>
      <w:tabs>
        <w:tab w:val="center" w:pos="4320"/>
        <w:tab w:val="right" w:pos="8640"/>
      </w:tabs>
    </w:pPr>
  </w:style>
  <w:style w:type="paragraph" w:styleId="BalloonText">
    <w:name w:val="Balloon Text"/>
    <w:basedOn w:val="Normal"/>
    <w:semiHidden/>
    <w:rsid w:val="005A3FF5"/>
    <w:rPr>
      <w:rFonts w:ascii="Tahoma" w:hAnsi="Tahoma" w:cs="Tahoma"/>
      <w:sz w:val="16"/>
      <w:szCs w:val="16"/>
    </w:rPr>
  </w:style>
  <w:style w:type="character" w:styleId="CommentReference">
    <w:name w:val="annotation reference"/>
    <w:basedOn w:val="DefaultParagraphFont"/>
    <w:semiHidden/>
    <w:rsid w:val="00FB5A3E"/>
    <w:rPr>
      <w:sz w:val="16"/>
      <w:szCs w:val="16"/>
    </w:rPr>
  </w:style>
  <w:style w:type="paragraph" w:styleId="CommentText">
    <w:name w:val="annotation text"/>
    <w:basedOn w:val="Normal"/>
    <w:semiHidden/>
    <w:rsid w:val="00FB5A3E"/>
    <w:rPr>
      <w:sz w:val="20"/>
      <w:szCs w:val="20"/>
    </w:rPr>
  </w:style>
  <w:style w:type="paragraph" w:styleId="CommentSubject">
    <w:name w:val="annotation subject"/>
    <w:basedOn w:val="CommentText"/>
    <w:next w:val="CommentText"/>
    <w:semiHidden/>
    <w:rsid w:val="00FB5A3E"/>
    <w:rPr>
      <w:b/>
      <w:bCs/>
    </w:rPr>
  </w:style>
  <w:style w:type="paragraph" w:styleId="ListParagraph">
    <w:name w:val="List Paragraph"/>
    <w:basedOn w:val="Normal"/>
    <w:uiPriority w:val="34"/>
    <w:qFormat/>
    <w:rsid w:val="00BA1BAF"/>
    <w:pPr>
      <w:ind w:left="720"/>
      <w:contextualSpacing/>
    </w:pPr>
  </w:style>
</w:styles>
</file>

<file path=word/webSettings.xml><?xml version="1.0" encoding="utf-8"?>
<w:webSettings xmlns:r="http://schemas.openxmlformats.org/officeDocument/2006/relationships" xmlns:w="http://schemas.openxmlformats.org/wordprocessingml/2006/main">
  <w:divs>
    <w:div w:id="562331354">
      <w:bodyDiv w:val="1"/>
      <w:marLeft w:val="0"/>
      <w:marRight w:val="0"/>
      <w:marTop w:val="0"/>
      <w:marBottom w:val="0"/>
      <w:divBdr>
        <w:top w:val="none" w:sz="0" w:space="0" w:color="auto"/>
        <w:left w:val="none" w:sz="0" w:space="0" w:color="auto"/>
        <w:bottom w:val="none" w:sz="0" w:space="0" w:color="auto"/>
        <w:right w:val="none" w:sz="0" w:space="0" w:color="auto"/>
      </w:divBdr>
      <w:divsChild>
        <w:div w:id="250314045">
          <w:marLeft w:val="1166"/>
          <w:marRight w:val="0"/>
          <w:marTop w:val="151"/>
          <w:marBottom w:val="0"/>
          <w:divBdr>
            <w:top w:val="none" w:sz="0" w:space="0" w:color="auto"/>
            <w:left w:val="none" w:sz="0" w:space="0" w:color="auto"/>
            <w:bottom w:val="none" w:sz="0" w:space="0" w:color="auto"/>
            <w:right w:val="none" w:sz="0" w:space="0" w:color="auto"/>
          </w:divBdr>
        </w:div>
        <w:div w:id="535044215">
          <w:marLeft w:val="547"/>
          <w:marRight w:val="0"/>
          <w:marTop w:val="151"/>
          <w:marBottom w:val="0"/>
          <w:divBdr>
            <w:top w:val="none" w:sz="0" w:space="0" w:color="auto"/>
            <w:left w:val="none" w:sz="0" w:space="0" w:color="auto"/>
            <w:bottom w:val="none" w:sz="0" w:space="0" w:color="auto"/>
            <w:right w:val="none" w:sz="0" w:space="0" w:color="auto"/>
          </w:divBdr>
        </w:div>
        <w:div w:id="780300740">
          <w:marLeft w:val="1166"/>
          <w:marRight w:val="0"/>
          <w:marTop w:val="151"/>
          <w:marBottom w:val="0"/>
          <w:divBdr>
            <w:top w:val="none" w:sz="0" w:space="0" w:color="auto"/>
            <w:left w:val="none" w:sz="0" w:space="0" w:color="auto"/>
            <w:bottom w:val="none" w:sz="0" w:space="0" w:color="auto"/>
            <w:right w:val="none" w:sz="0" w:space="0" w:color="auto"/>
          </w:divBdr>
        </w:div>
        <w:div w:id="1188562295">
          <w:marLeft w:val="1166"/>
          <w:marRight w:val="0"/>
          <w:marTop w:val="151"/>
          <w:marBottom w:val="0"/>
          <w:divBdr>
            <w:top w:val="none" w:sz="0" w:space="0" w:color="auto"/>
            <w:left w:val="none" w:sz="0" w:space="0" w:color="auto"/>
            <w:bottom w:val="none" w:sz="0" w:space="0" w:color="auto"/>
            <w:right w:val="none" w:sz="0" w:space="0" w:color="auto"/>
          </w:divBdr>
        </w:div>
      </w:divsChild>
    </w:div>
    <w:div w:id="1188443685">
      <w:bodyDiv w:val="1"/>
      <w:marLeft w:val="0"/>
      <w:marRight w:val="0"/>
      <w:marTop w:val="0"/>
      <w:marBottom w:val="0"/>
      <w:divBdr>
        <w:top w:val="none" w:sz="0" w:space="0" w:color="auto"/>
        <w:left w:val="none" w:sz="0" w:space="0" w:color="auto"/>
        <w:bottom w:val="none" w:sz="0" w:space="0" w:color="auto"/>
        <w:right w:val="none" w:sz="0" w:space="0" w:color="auto"/>
      </w:divBdr>
    </w:div>
    <w:div w:id="1590851480">
      <w:bodyDiv w:val="1"/>
      <w:marLeft w:val="0"/>
      <w:marRight w:val="0"/>
      <w:marTop w:val="0"/>
      <w:marBottom w:val="0"/>
      <w:divBdr>
        <w:top w:val="none" w:sz="0" w:space="0" w:color="auto"/>
        <w:left w:val="none" w:sz="0" w:space="0" w:color="auto"/>
        <w:bottom w:val="none" w:sz="0" w:space="0" w:color="auto"/>
        <w:right w:val="none" w:sz="0" w:space="0" w:color="auto"/>
      </w:divBdr>
      <w:divsChild>
        <w:div w:id="1554660769">
          <w:marLeft w:val="547"/>
          <w:marRight w:val="0"/>
          <w:marTop w:val="151"/>
          <w:marBottom w:val="0"/>
          <w:divBdr>
            <w:top w:val="none" w:sz="0" w:space="0" w:color="auto"/>
            <w:left w:val="none" w:sz="0" w:space="0" w:color="auto"/>
            <w:bottom w:val="none" w:sz="0" w:space="0" w:color="auto"/>
            <w:right w:val="none" w:sz="0" w:space="0" w:color="auto"/>
          </w:divBdr>
        </w:div>
      </w:divsChild>
    </w:div>
    <w:div w:id="1724517975">
      <w:bodyDiv w:val="1"/>
      <w:marLeft w:val="0"/>
      <w:marRight w:val="0"/>
      <w:marTop w:val="0"/>
      <w:marBottom w:val="0"/>
      <w:divBdr>
        <w:top w:val="none" w:sz="0" w:space="0" w:color="auto"/>
        <w:left w:val="none" w:sz="0" w:space="0" w:color="auto"/>
        <w:bottom w:val="none" w:sz="0" w:space="0" w:color="auto"/>
        <w:right w:val="none" w:sz="0" w:space="0" w:color="auto"/>
      </w:divBdr>
      <w:divsChild>
        <w:div w:id="1957639354">
          <w:marLeft w:val="547"/>
          <w:marRight w:val="0"/>
          <w:marTop w:val="151"/>
          <w:marBottom w:val="0"/>
          <w:divBdr>
            <w:top w:val="none" w:sz="0" w:space="0" w:color="auto"/>
            <w:left w:val="none" w:sz="0" w:space="0" w:color="auto"/>
            <w:bottom w:val="none" w:sz="0" w:space="0" w:color="auto"/>
            <w:right w:val="none" w:sz="0" w:space="0" w:color="auto"/>
          </w:divBdr>
        </w:div>
      </w:divsChild>
    </w:div>
    <w:div w:id="1800415888">
      <w:bodyDiv w:val="1"/>
      <w:marLeft w:val="0"/>
      <w:marRight w:val="0"/>
      <w:marTop w:val="0"/>
      <w:marBottom w:val="0"/>
      <w:divBdr>
        <w:top w:val="none" w:sz="0" w:space="0" w:color="auto"/>
        <w:left w:val="none" w:sz="0" w:space="0" w:color="auto"/>
        <w:bottom w:val="none" w:sz="0" w:space="0" w:color="auto"/>
        <w:right w:val="none" w:sz="0" w:space="0" w:color="auto"/>
      </w:divBdr>
      <w:divsChild>
        <w:div w:id="1251426041">
          <w:marLeft w:val="547"/>
          <w:marRight w:val="0"/>
          <w:marTop w:val="151"/>
          <w:marBottom w:val="0"/>
          <w:divBdr>
            <w:top w:val="none" w:sz="0" w:space="0" w:color="auto"/>
            <w:left w:val="none" w:sz="0" w:space="0" w:color="auto"/>
            <w:bottom w:val="none" w:sz="0" w:space="0" w:color="auto"/>
            <w:right w:val="none" w:sz="0" w:space="0" w:color="auto"/>
          </w:divBdr>
        </w:div>
      </w:divsChild>
    </w:div>
    <w:div w:id="188397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cms.hhs.gov/MedHCPCSGenInfo/01_Overview.asp"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ms.hhs.gov/ICD9ProviderDiagnosticCodes/01_overview.asp" TargetMode="External"/><Relationship Id="rId17" Type="http://schemas.openxmlformats.org/officeDocument/2006/relationships/hyperlink" Target="http://www.cms.hhs.gov/AcuteInpatientPPS/HIF/list.asp" TargetMode="External"/><Relationship Id="rId2" Type="http://schemas.openxmlformats.org/officeDocument/2006/relationships/styles" Target="styles.xml"/><Relationship Id="rId16" Type="http://schemas.openxmlformats.org/officeDocument/2006/relationships/hyperlink" Target="http://www.cms.hhs.gov/AcuteInpatientPPS/FFD/list.as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da.gov/cdrh/devadvice/313.html" TargetMode="External"/><Relationship Id="rId5" Type="http://schemas.openxmlformats.org/officeDocument/2006/relationships/footnotes" Target="footnotes.xml"/><Relationship Id="rId15" Type="http://schemas.openxmlformats.org/officeDocument/2006/relationships/hyperlink" Target="mailto:NewTech@cms.hhs.gov" TargetMode="External"/><Relationship Id="rId10" Type="http://schemas.openxmlformats.org/officeDocument/2006/relationships/hyperlink" Target="http://www.fda.gov/cdrh/devadvice/ide/index.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ccessdata.fda.gov/scripts/cder/onctools/Accel.cfm" TargetMode="External"/><Relationship Id="rId14" Type="http://schemas.openxmlformats.org/officeDocument/2006/relationships/hyperlink" Target="http://www.cms.hhs.gov/HospitalOutpatientPPS/04_passthrough_paymen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1796</Words>
  <Characters>11190</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DEPARTMENT OF HEALTH &amp; HUMAN SERVICES</vt:lpstr>
    </vt:vector>
  </TitlesOfParts>
  <Company>CMS</Company>
  <LinksUpToDate>false</LinksUpToDate>
  <CharactersWithSpaces>12961</CharactersWithSpaces>
  <SharedDoc>false</SharedDoc>
  <HLinks>
    <vt:vector size="54" baseType="variant">
      <vt:variant>
        <vt:i4>1048600</vt:i4>
      </vt:variant>
      <vt:variant>
        <vt:i4>24</vt:i4>
      </vt:variant>
      <vt:variant>
        <vt:i4>0</vt:i4>
      </vt:variant>
      <vt:variant>
        <vt:i4>5</vt:i4>
      </vt:variant>
      <vt:variant>
        <vt:lpwstr>http://www.cms.hhs.gov/AcuteInpatientPPS/HIF/list.asp</vt:lpwstr>
      </vt:variant>
      <vt:variant>
        <vt:lpwstr>TopOfPage</vt:lpwstr>
      </vt:variant>
      <vt:variant>
        <vt:i4>1835031</vt:i4>
      </vt:variant>
      <vt:variant>
        <vt:i4>21</vt:i4>
      </vt:variant>
      <vt:variant>
        <vt:i4>0</vt:i4>
      </vt:variant>
      <vt:variant>
        <vt:i4>5</vt:i4>
      </vt:variant>
      <vt:variant>
        <vt:lpwstr>http://www.cms.hhs.gov/AcuteInpatientPPS/FFD/list.asp</vt:lpwstr>
      </vt:variant>
      <vt:variant>
        <vt:lpwstr>TopOfPage</vt:lpwstr>
      </vt:variant>
      <vt:variant>
        <vt:i4>7077906</vt:i4>
      </vt:variant>
      <vt:variant>
        <vt:i4>18</vt:i4>
      </vt:variant>
      <vt:variant>
        <vt:i4>0</vt:i4>
      </vt:variant>
      <vt:variant>
        <vt:i4>5</vt:i4>
      </vt:variant>
      <vt:variant>
        <vt:lpwstr>mailto:NewTech@cms.hhs.gov</vt:lpwstr>
      </vt:variant>
      <vt:variant>
        <vt:lpwstr/>
      </vt:variant>
      <vt:variant>
        <vt:i4>3539067</vt:i4>
      </vt:variant>
      <vt:variant>
        <vt:i4>15</vt:i4>
      </vt:variant>
      <vt:variant>
        <vt:i4>0</vt:i4>
      </vt:variant>
      <vt:variant>
        <vt:i4>5</vt:i4>
      </vt:variant>
      <vt:variant>
        <vt:lpwstr>http://www.cms.hhs.gov/HospitalOutpatientPPS/04_passthrough_payment.asp</vt:lpwstr>
      </vt:variant>
      <vt:variant>
        <vt:lpwstr>TopOfPage</vt:lpwstr>
      </vt:variant>
      <vt:variant>
        <vt:i4>4390952</vt:i4>
      </vt:variant>
      <vt:variant>
        <vt:i4>12</vt:i4>
      </vt:variant>
      <vt:variant>
        <vt:i4>0</vt:i4>
      </vt:variant>
      <vt:variant>
        <vt:i4>5</vt:i4>
      </vt:variant>
      <vt:variant>
        <vt:lpwstr>http://www.cms.hhs.gov/MedHCPCSGenInfo/01_Overview.asp</vt:lpwstr>
      </vt:variant>
      <vt:variant>
        <vt:lpwstr>TopOfPage</vt:lpwstr>
      </vt:variant>
      <vt:variant>
        <vt:i4>5832824</vt:i4>
      </vt:variant>
      <vt:variant>
        <vt:i4>9</vt:i4>
      </vt:variant>
      <vt:variant>
        <vt:i4>0</vt:i4>
      </vt:variant>
      <vt:variant>
        <vt:i4>5</vt:i4>
      </vt:variant>
      <vt:variant>
        <vt:lpwstr>http://www.cms.hhs.gov/ICD9ProviderDiagnosticCodes/01_overview.asp</vt:lpwstr>
      </vt:variant>
      <vt:variant>
        <vt:lpwstr>TopOfPage</vt:lpwstr>
      </vt:variant>
      <vt:variant>
        <vt:i4>3801129</vt:i4>
      </vt:variant>
      <vt:variant>
        <vt:i4>6</vt:i4>
      </vt:variant>
      <vt:variant>
        <vt:i4>0</vt:i4>
      </vt:variant>
      <vt:variant>
        <vt:i4>5</vt:i4>
      </vt:variant>
      <vt:variant>
        <vt:lpwstr>http://www.fda.gov/cdrh/devadvice/313.html</vt:lpwstr>
      </vt:variant>
      <vt:variant>
        <vt:lpwstr/>
      </vt:variant>
      <vt:variant>
        <vt:i4>5636178</vt:i4>
      </vt:variant>
      <vt:variant>
        <vt:i4>3</vt:i4>
      </vt:variant>
      <vt:variant>
        <vt:i4>0</vt:i4>
      </vt:variant>
      <vt:variant>
        <vt:i4>5</vt:i4>
      </vt:variant>
      <vt:variant>
        <vt:lpwstr>http://www.fda.gov/cdrh/devadvice/ide/index.shtml</vt:lpwstr>
      </vt:variant>
      <vt:variant>
        <vt:lpwstr/>
      </vt:variant>
      <vt:variant>
        <vt:i4>4653075</vt:i4>
      </vt:variant>
      <vt:variant>
        <vt:i4>0</vt:i4>
      </vt:variant>
      <vt:variant>
        <vt:i4>0</vt:i4>
      </vt:variant>
      <vt:variant>
        <vt:i4>5</vt:i4>
      </vt:variant>
      <vt:variant>
        <vt:lpwstr>http://www.accessdata.fda.gov/scripts/cder/onctools/Accel.cfm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HEALTH &amp; HUMAN SERVICES</dc:title>
  <dc:subject/>
  <dc:creator>Meredith</dc:creator>
  <cp:keywords/>
  <dc:description/>
  <cp:lastModifiedBy>MT</cp:lastModifiedBy>
  <cp:revision>3</cp:revision>
  <cp:lastPrinted>2005-10-03T16:17:00Z</cp:lastPrinted>
  <dcterms:created xsi:type="dcterms:W3CDTF">2011-09-14T17:36:00Z</dcterms:created>
  <dcterms:modified xsi:type="dcterms:W3CDTF">2011-09-18T17:32:00Z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-420437729</vt:i4>
  </property>
  <property fmtid="{D5CDD505-2E9C-101B-9397-08002B2CF9AE}" pid="3" name="_NewReviewCycle">
    <vt:lpwstr/>
  </property>
  <property fmtid="{D5CDD505-2E9C-101B-9397-08002B2CF9AE}" pid="4" name="_EmailSubject">
    <vt:lpwstr>New tech Application</vt:lpwstr>
  </property>
  <property fmtid="{D5CDD505-2E9C-101B-9397-08002B2CF9AE}" pid="5" name="_AuthorEmail">
    <vt:lpwstr>Celeste.Beauregard@CMS.hhs.gov</vt:lpwstr>
  </property>
  <property fmtid="{D5CDD505-2E9C-101B-9397-08002B2CF9AE}" pid="6" name="_AuthorEmailDisplayName">
    <vt:lpwstr>Beauregard, Celeste M. (CMS/CM)</vt:lpwstr>
  </property>
  <property fmtid="{D5CDD505-2E9C-101B-9397-08002B2CF9AE}" pid="7" name="_ReviewingToolsShownOnce">
    <vt:lpwstr/>
  </property>
</Properties>
</file>