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0DBB" w14:textId="77777777" w:rsidR="0060554F" w:rsidRPr="00EE30D6" w:rsidRDefault="00115898">
      <w:pPr>
        <w:pStyle w:val="Heading1"/>
      </w:pPr>
      <w:bookmarkStart w:id="0" w:name="Medicare_Fee-for-Service_Recovery_Audit_"/>
      <w:bookmarkEnd w:id="0"/>
      <w:r w:rsidRPr="00EE30D6">
        <w:t>Medicare Fee-for-Service Recovery Audit Program</w:t>
      </w:r>
    </w:p>
    <w:p w14:paraId="20598384" w14:textId="77777777" w:rsidR="00E35E13" w:rsidRPr="00EE30D6" w:rsidRDefault="00115898">
      <w:pPr>
        <w:spacing w:before="19" w:line="520" w:lineRule="atLeast"/>
        <w:ind w:left="119"/>
        <w:rPr>
          <w:b/>
          <w:sz w:val="24"/>
          <w:szCs w:val="24"/>
        </w:rPr>
      </w:pPr>
      <w:r w:rsidRPr="00EE30D6">
        <w:rPr>
          <w:b/>
          <w:sz w:val="24"/>
          <w:szCs w:val="24"/>
        </w:rPr>
        <w:t xml:space="preserve">Additional Documentation Limits for Medicare </w:t>
      </w:r>
      <w:r w:rsidRPr="00EE30D6">
        <w:rPr>
          <w:b/>
          <w:sz w:val="24"/>
          <w:szCs w:val="24"/>
          <w:u w:val="thick"/>
        </w:rPr>
        <w:t xml:space="preserve">Institutional Providers </w:t>
      </w:r>
      <w:r w:rsidRPr="00EE30D6">
        <w:rPr>
          <w:b/>
          <w:sz w:val="24"/>
          <w:szCs w:val="24"/>
        </w:rPr>
        <w:t xml:space="preserve">(i.e. Facilities) </w:t>
      </w:r>
      <w:bookmarkStart w:id="1" w:name="Baseline_Additional_Documentation_Reques"/>
      <w:bookmarkEnd w:id="1"/>
    </w:p>
    <w:p w14:paraId="00CEDBC6" w14:textId="77777777" w:rsidR="00E35E13" w:rsidRPr="00EE30D6" w:rsidRDefault="00E35E13">
      <w:pPr>
        <w:spacing w:before="19" w:line="520" w:lineRule="atLeast"/>
        <w:ind w:left="119"/>
        <w:rPr>
          <w:b/>
          <w:sz w:val="24"/>
          <w:szCs w:val="24"/>
        </w:rPr>
      </w:pPr>
    </w:p>
    <w:p w14:paraId="05268144" w14:textId="5AFBF233" w:rsidR="00E35E13" w:rsidRPr="00EE30D6" w:rsidRDefault="00115898" w:rsidP="00102584">
      <w:pPr>
        <w:spacing w:after="240" w:line="520" w:lineRule="atLeast"/>
        <w:ind w:left="115"/>
        <w:rPr>
          <w:b/>
          <w:sz w:val="24"/>
          <w:szCs w:val="24"/>
        </w:rPr>
      </w:pPr>
      <w:r w:rsidRPr="00EE30D6">
        <w:rPr>
          <w:b/>
          <w:sz w:val="24"/>
          <w:szCs w:val="24"/>
        </w:rPr>
        <w:t>Baseline Additional Documentation Request (ADR) Limits</w:t>
      </w:r>
      <w:bookmarkStart w:id="2" w:name="_GoBack"/>
      <w:bookmarkEnd w:id="2"/>
    </w:p>
    <w:p w14:paraId="3642F093" w14:textId="0F8F312D" w:rsidR="0060554F" w:rsidRPr="00EE30D6" w:rsidRDefault="00115898">
      <w:pPr>
        <w:pStyle w:val="BodyText"/>
        <w:ind w:left="119" w:right="37"/>
      </w:pPr>
      <w:r w:rsidRPr="00EE30D6">
        <w:t>In November 2015, the Centers for Medicare &amp; Medicaid Services (CMS) modified the additional documentation request (ADR) limits for the Medicare Fee-for-Service Recovery Audit Program for institutional providers, which became effective January 1, 2016.</w:t>
      </w:r>
      <w:r w:rsidR="00E35E13" w:rsidRPr="00EE30D6">
        <w:t xml:space="preserve"> </w:t>
      </w:r>
      <w:r w:rsidRPr="00EE30D6">
        <w:t xml:space="preserve"> ADR limits for Physician/Non-Physician Practitioners and Suppliers remain</w:t>
      </w:r>
      <w:r w:rsidR="000B4A51" w:rsidRPr="00EE30D6">
        <w:t>ed</w:t>
      </w:r>
      <w:r w:rsidRPr="00EE30D6">
        <w:t xml:space="preserve"> unchanged and </w:t>
      </w:r>
      <w:r w:rsidR="000B4A51" w:rsidRPr="00EE30D6">
        <w:t>were</w:t>
      </w:r>
      <w:r w:rsidRPr="00EE30D6">
        <w:t xml:space="preserve"> not affected by this instruction.</w:t>
      </w:r>
    </w:p>
    <w:p w14:paraId="41141031" w14:textId="77777777" w:rsidR="0060554F" w:rsidRPr="00EE30D6" w:rsidRDefault="0060554F">
      <w:pPr>
        <w:pStyle w:val="BodyText"/>
        <w:spacing w:before="5"/>
      </w:pPr>
    </w:p>
    <w:p w14:paraId="39BE0B02" w14:textId="3FDC0F55" w:rsidR="0060554F" w:rsidRPr="00EE30D6" w:rsidRDefault="00115898">
      <w:pPr>
        <w:pStyle w:val="BodyText"/>
        <w:ind w:left="119" w:right="643"/>
      </w:pPr>
      <w:r w:rsidRPr="00EE30D6">
        <w:t xml:space="preserve">A baseline annual ADR limit is established for each provider based on the number of Medicare claims paid in a previous 12-month period that are associated with the provider’s 6-digit </w:t>
      </w:r>
      <w:r w:rsidRPr="00EE30D6">
        <w:rPr>
          <w:b/>
        </w:rPr>
        <w:t xml:space="preserve">CMS Certification Number (CCN) </w:t>
      </w:r>
      <w:r w:rsidRPr="00EE30D6">
        <w:t xml:space="preserve">and the provider’s </w:t>
      </w:r>
      <w:r w:rsidRPr="00EE30D6">
        <w:rPr>
          <w:b/>
        </w:rPr>
        <w:t xml:space="preserve">National Provider Identifier (NPI) </w:t>
      </w:r>
      <w:r w:rsidRPr="00EE30D6">
        <w:t xml:space="preserve">number. </w:t>
      </w:r>
      <w:r w:rsidR="006A01A2">
        <w:t xml:space="preserve"> </w:t>
      </w:r>
      <w:r w:rsidRPr="00EE30D6">
        <w:t xml:space="preserve">Using the baseline annual ADR limit, an ADR cycle limit is also established. </w:t>
      </w:r>
    </w:p>
    <w:p w14:paraId="4AB91215" w14:textId="77777777" w:rsidR="0060554F" w:rsidRPr="00EE30D6" w:rsidRDefault="0060554F">
      <w:pPr>
        <w:pStyle w:val="BodyText"/>
        <w:spacing w:before="11"/>
      </w:pPr>
    </w:p>
    <w:p w14:paraId="38F79EF9" w14:textId="77777777" w:rsidR="0060554F" w:rsidRPr="00EE30D6" w:rsidRDefault="00115898">
      <w:pPr>
        <w:pStyle w:val="ListParagraph"/>
        <w:numPr>
          <w:ilvl w:val="0"/>
          <w:numId w:val="1"/>
        </w:numPr>
        <w:tabs>
          <w:tab w:val="left" w:pos="480"/>
        </w:tabs>
        <w:ind w:right="536"/>
        <w:rPr>
          <w:sz w:val="24"/>
          <w:szCs w:val="24"/>
        </w:rPr>
      </w:pPr>
      <w:r w:rsidRPr="00EE30D6">
        <w:rPr>
          <w:sz w:val="24"/>
          <w:szCs w:val="24"/>
        </w:rPr>
        <w:t xml:space="preserve">The baseline </w:t>
      </w:r>
      <w:r w:rsidRPr="00EE30D6">
        <w:rPr>
          <w:sz w:val="24"/>
          <w:szCs w:val="24"/>
          <w:u w:val="single"/>
        </w:rPr>
        <w:t xml:space="preserve">annual </w:t>
      </w:r>
      <w:r w:rsidRPr="00EE30D6">
        <w:rPr>
          <w:sz w:val="24"/>
          <w:szCs w:val="24"/>
        </w:rPr>
        <w:t xml:space="preserve">ADR Limit is </w:t>
      </w:r>
      <w:r w:rsidRPr="00EE30D6">
        <w:rPr>
          <w:b/>
          <w:sz w:val="24"/>
          <w:szCs w:val="24"/>
        </w:rPr>
        <w:t xml:space="preserve">one-half of one percent </w:t>
      </w:r>
      <w:r w:rsidRPr="00EE30D6">
        <w:rPr>
          <w:sz w:val="24"/>
          <w:szCs w:val="24"/>
        </w:rPr>
        <w:t>(0.5%) of the provider’s total number of paid Medicare claims from a previous 12-month</w:t>
      </w:r>
      <w:r w:rsidRPr="00EE30D6">
        <w:rPr>
          <w:spacing w:val="-13"/>
          <w:sz w:val="24"/>
          <w:szCs w:val="24"/>
        </w:rPr>
        <w:t xml:space="preserve"> </w:t>
      </w:r>
      <w:r w:rsidRPr="00EE30D6">
        <w:rPr>
          <w:sz w:val="24"/>
          <w:szCs w:val="24"/>
        </w:rPr>
        <w:t>period.</w:t>
      </w:r>
    </w:p>
    <w:p w14:paraId="0E9A8D27" w14:textId="77777777" w:rsidR="0060554F" w:rsidRPr="00EE30D6" w:rsidRDefault="0060554F">
      <w:pPr>
        <w:pStyle w:val="BodyText"/>
        <w:spacing w:before="11"/>
      </w:pPr>
    </w:p>
    <w:p w14:paraId="5A25CAB6" w14:textId="38910E00" w:rsidR="0060554F" w:rsidRPr="00EE30D6" w:rsidRDefault="00115898">
      <w:pPr>
        <w:pStyle w:val="ListParagraph"/>
        <w:numPr>
          <w:ilvl w:val="0"/>
          <w:numId w:val="1"/>
        </w:numPr>
        <w:tabs>
          <w:tab w:val="left" w:pos="480"/>
        </w:tabs>
        <w:ind w:right="423"/>
        <w:rPr>
          <w:sz w:val="24"/>
          <w:szCs w:val="24"/>
        </w:rPr>
      </w:pPr>
      <w:r w:rsidRPr="00EE30D6">
        <w:rPr>
          <w:sz w:val="24"/>
          <w:szCs w:val="24"/>
        </w:rPr>
        <w:t>ADR letters are sent on a 45-day cycle.</w:t>
      </w:r>
      <w:r w:rsidR="00EE30D6">
        <w:rPr>
          <w:sz w:val="24"/>
          <w:szCs w:val="24"/>
        </w:rPr>
        <w:t xml:space="preserve"> </w:t>
      </w:r>
      <w:r w:rsidRPr="00EE30D6">
        <w:rPr>
          <w:sz w:val="24"/>
          <w:szCs w:val="24"/>
        </w:rPr>
        <w:t xml:space="preserve"> The baseline annual ADR Limit is divided by eight (8) to establish the ADR </w:t>
      </w:r>
      <w:r w:rsidRPr="00EE30D6">
        <w:rPr>
          <w:sz w:val="24"/>
          <w:szCs w:val="24"/>
          <w:u w:val="single"/>
        </w:rPr>
        <w:t xml:space="preserve">cycle </w:t>
      </w:r>
      <w:r w:rsidRPr="00EE30D6">
        <w:rPr>
          <w:sz w:val="24"/>
          <w:szCs w:val="24"/>
        </w:rPr>
        <w:t xml:space="preserve">limit, which is the maximum number of claims that can be included in a single 45-day period. </w:t>
      </w:r>
      <w:r w:rsidR="00EE30D6">
        <w:rPr>
          <w:sz w:val="24"/>
          <w:szCs w:val="24"/>
        </w:rPr>
        <w:t xml:space="preserve"> </w:t>
      </w:r>
      <w:r w:rsidRPr="00EE30D6">
        <w:rPr>
          <w:sz w:val="24"/>
          <w:szCs w:val="24"/>
        </w:rPr>
        <w:t>Although the Recovery Audit</w:t>
      </w:r>
      <w:r w:rsidR="000B4A51" w:rsidRPr="00EE30D6">
        <w:rPr>
          <w:sz w:val="24"/>
          <w:szCs w:val="24"/>
        </w:rPr>
        <w:t xml:space="preserve"> Contract</w:t>
      </w:r>
      <w:r w:rsidRPr="00EE30D6">
        <w:rPr>
          <w:sz w:val="24"/>
          <w:szCs w:val="24"/>
        </w:rPr>
        <w:t xml:space="preserve">ors may </w:t>
      </w:r>
      <w:r w:rsidRPr="00EE30D6">
        <w:rPr>
          <w:spacing w:val="-3"/>
          <w:sz w:val="24"/>
          <w:szCs w:val="24"/>
        </w:rPr>
        <w:t>go</w:t>
      </w:r>
      <w:r w:rsidRPr="00EE30D6">
        <w:rPr>
          <w:spacing w:val="-35"/>
          <w:sz w:val="24"/>
          <w:szCs w:val="24"/>
        </w:rPr>
        <w:t xml:space="preserve"> </w:t>
      </w:r>
      <w:r w:rsidRPr="00EE30D6">
        <w:rPr>
          <w:sz w:val="24"/>
          <w:szCs w:val="24"/>
        </w:rPr>
        <w:t>more than 45 days between record requests, in no case shall they make requests more frequently than every 45</w:t>
      </w:r>
      <w:r w:rsidRPr="00EE30D6">
        <w:rPr>
          <w:spacing w:val="-16"/>
          <w:sz w:val="24"/>
          <w:szCs w:val="24"/>
        </w:rPr>
        <w:t xml:space="preserve"> </w:t>
      </w:r>
      <w:r w:rsidRPr="00EE30D6">
        <w:rPr>
          <w:sz w:val="24"/>
          <w:szCs w:val="24"/>
        </w:rPr>
        <w:t>days.</w:t>
      </w:r>
    </w:p>
    <w:p w14:paraId="76DE9523" w14:textId="77777777" w:rsidR="0060554F" w:rsidRPr="00EE30D6" w:rsidRDefault="0060554F">
      <w:pPr>
        <w:pStyle w:val="BodyText"/>
        <w:spacing w:before="11"/>
      </w:pPr>
    </w:p>
    <w:p w14:paraId="540C4491" w14:textId="77777777" w:rsidR="0060554F" w:rsidRPr="00EE30D6" w:rsidRDefault="00115898">
      <w:pPr>
        <w:pStyle w:val="BodyText"/>
        <w:spacing w:line="270" w:lineRule="exact"/>
        <w:ind w:left="479"/>
      </w:pPr>
      <w:r w:rsidRPr="00EE30D6">
        <w:t>For example:</w:t>
      </w:r>
    </w:p>
    <w:p w14:paraId="63522108" w14:textId="20B8F973" w:rsidR="0060554F" w:rsidRPr="00EE30D6" w:rsidRDefault="00115898" w:rsidP="00A80209">
      <w:pPr>
        <w:pStyle w:val="ListParagraph"/>
        <w:numPr>
          <w:ilvl w:val="1"/>
          <w:numId w:val="1"/>
        </w:numPr>
        <w:tabs>
          <w:tab w:val="left" w:pos="1199"/>
          <w:tab w:val="left" w:pos="1200"/>
        </w:tabs>
        <w:spacing w:before="15" w:line="274" w:lineRule="exact"/>
        <w:ind w:right="1176"/>
        <w:rPr>
          <w:sz w:val="24"/>
          <w:szCs w:val="24"/>
        </w:rPr>
      </w:pPr>
      <w:r w:rsidRPr="00A12FAE">
        <w:rPr>
          <w:b/>
          <w:sz w:val="24"/>
          <w:szCs w:val="24"/>
        </w:rPr>
        <w:t xml:space="preserve">Provider A </w:t>
      </w:r>
      <w:r w:rsidRPr="00EE30D6">
        <w:rPr>
          <w:sz w:val="24"/>
          <w:szCs w:val="24"/>
        </w:rPr>
        <w:t>billed and was paid for 22,530 Medicare claims in 2014.</w:t>
      </w:r>
      <w:r w:rsidR="00A12FAE">
        <w:rPr>
          <w:sz w:val="24"/>
          <w:szCs w:val="24"/>
        </w:rPr>
        <w:t xml:space="preserve"> </w:t>
      </w:r>
      <w:r w:rsidRPr="00A12FAE">
        <w:rPr>
          <w:spacing w:val="-22"/>
          <w:sz w:val="24"/>
          <w:szCs w:val="24"/>
        </w:rPr>
        <w:t xml:space="preserve"> </w:t>
      </w:r>
      <w:r w:rsidRPr="00EE30D6">
        <w:rPr>
          <w:sz w:val="24"/>
          <w:szCs w:val="24"/>
        </w:rPr>
        <w:t>The provider’s baseline annual ADR limit would be 22,530 x 0.005, which</w:t>
      </w:r>
      <w:r w:rsidRPr="00A12FAE">
        <w:rPr>
          <w:spacing w:val="-10"/>
          <w:sz w:val="24"/>
          <w:szCs w:val="24"/>
        </w:rPr>
        <w:t xml:space="preserve"> </w:t>
      </w:r>
      <w:r w:rsidRPr="00EE30D6">
        <w:rPr>
          <w:sz w:val="24"/>
          <w:szCs w:val="24"/>
        </w:rPr>
        <w:t>is</w:t>
      </w:r>
      <w:r w:rsidR="00A12FAE">
        <w:rPr>
          <w:sz w:val="24"/>
          <w:szCs w:val="24"/>
        </w:rPr>
        <w:t xml:space="preserve"> </w:t>
      </w:r>
      <w:r w:rsidRPr="00EE30D6">
        <w:rPr>
          <w:sz w:val="24"/>
          <w:szCs w:val="24"/>
        </w:rPr>
        <w:t>112.65. The ADR cycle limit would be 112.65/ 8, which is 14.08, and would be rounded</w:t>
      </w:r>
      <w:r w:rsidR="007C4C0F">
        <w:rPr>
          <w:rStyle w:val="FootnoteReference"/>
          <w:sz w:val="24"/>
          <w:szCs w:val="24"/>
        </w:rPr>
        <w:footnoteReference w:id="1"/>
      </w:r>
      <w:r w:rsidRPr="00EE30D6">
        <w:rPr>
          <w:sz w:val="24"/>
          <w:szCs w:val="24"/>
        </w:rPr>
        <w:t xml:space="preserve"> to </w:t>
      </w:r>
      <w:r w:rsidRPr="00A12FAE">
        <w:rPr>
          <w:b/>
          <w:sz w:val="24"/>
          <w:szCs w:val="24"/>
        </w:rPr>
        <w:t xml:space="preserve">14 </w:t>
      </w:r>
      <w:r w:rsidRPr="00EE30D6">
        <w:rPr>
          <w:sz w:val="24"/>
          <w:szCs w:val="24"/>
        </w:rPr>
        <w:t>additional documentation requests per 45 days.</w:t>
      </w:r>
    </w:p>
    <w:p w14:paraId="60CA2D1C" w14:textId="77777777" w:rsidR="0060554F" w:rsidRPr="00EE30D6" w:rsidRDefault="0060554F">
      <w:pPr>
        <w:pStyle w:val="BodyText"/>
      </w:pPr>
    </w:p>
    <w:p w14:paraId="47317904" w14:textId="20C56766" w:rsidR="0060554F" w:rsidRPr="00EE30D6" w:rsidRDefault="00115898">
      <w:pPr>
        <w:pStyle w:val="ListParagraph"/>
        <w:numPr>
          <w:ilvl w:val="1"/>
          <w:numId w:val="1"/>
        </w:numPr>
        <w:tabs>
          <w:tab w:val="left" w:pos="1199"/>
          <w:tab w:val="left" w:pos="1200"/>
        </w:tabs>
        <w:spacing w:before="1"/>
        <w:ind w:right="145"/>
        <w:rPr>
          <w:sz w:val="24"/>
          <w:szCs w:val="24"/>
        </w:rPr>
      </w:pPr>
      <w:r w:rsidRPr="00EE30D6">
        <w:rPr>
          <w:b/>
          <w:sz w:val="24"/>
          <w:szCs w:val="24"/>
        </w:rPr>
        <w:t xml:space="preserve">Provider B </w:t>
      </w:r>
      <w:r w:rsidRPr="00EE30D6">
        <w:rPr>
          <w:sz w:val="24"/>
          <w:szCs w:val="24"/>
        </w:rPr>
        <w:t>billed and was paid for 255,000 Medicare claims in 2014.</w:t>
      </w:r>
      <w:r w:rsidR="00A12FAE">
        <w:rPr>
          <w:sz w:val="24"/>
          <w:szCs w:val="24"/>
        </w:rPr>
        <w:t xml:space="preserve"> </w:t>
      </w:r>
      <w:r w:rsidRPr="00EE30D6">
        <w:rPr>
          <w:sz w:val="24"/>
          <w:szCs w:val="24"/>
        </w:rPr>
        <w:t xml:space="preserve"> The provider’s baseline annual ADR limit would be 255,000 x 0.005, which is 1,276. </w:t>
      </w:r>
      <w:r w:rsidR="00A12FAE">
        <w:rPr>
          <w:sz w:val="24"/>
          <w:szCs w:val="24"/>
        </w:rPr>
        <w:t xml:space="preserve"> </w:t>
      </w:r>
      <w:r w:rsidRPr="00EE30D6">
        <w:rPr>
          <w:sz w:val="24"/>
          <w:szCs w:val="24"/>
        </w:rPr>
        <w:t>The ADR cycle limit would be 1,276/ 8, which is 159.375, and would be rounded</w:t>
      </w:r>
      <w:r w:rsidRPr="00EE30D6">
        <w:rPr>
          <w:spacing w:val="-26"/>
          <w:sz w:val="24"/>
          <w:szCs w:val="24"/>
        </w:rPr>
        <w:t xml:space="preserve"> </w:t>
      </w:r>
      <w:r w:rsidRPr="00EE30D6">
        <w:rPr>
          <w:sz w:val="24"/>
          <w:szCs w:val="24"/>
        </w:rPr>
        <w:t xml:space="preserve">to </w:t>
      </w:r>
      <w:r w:rsidRPr="00EE30D6">
        <w:rPr>
          <w:b/>
          <w:sz w:val="24"/>
          <w:szCs w:val="24"/>
        </w:rPr>
        <w:t xml:space="preserve">159 </w:t>
      </w:r>
      <w:r w:rsidRPr="00EE30D6">
        <w:rPr>
          <w:sz w:val="24"/>
          <w:szCs w:val="24"/>
        </w:rPr>
        <w:t>additional documentation requests per 45</w:t>
      </w:r>
      <w:r w:rsidRPr="00EE30D6">
        <w:rPr>
          <w:spacing w:val="-21"/>
          <w:sz w:val="24"/>
          <w:szCs w:val="24"/>
        </w:rPr>
        <w:t xml:space="preserve"> </w:t>
      </w:r>
      <w:r w:rsidRPr="00EE30D6">
        <w:rPr>
          <w:sz w:val="24"/>
          <w:szCs w:val="24"/>
        </w:rPr>
        <w:t>days.</w:t>
      </w:r>
    </w:p>
    <w:p w14:paraId="72594E86" w14:textId="77777777" w:rsidR="00E35E13" w:rsidRPr="00EE30D6" w:rsidRDefault="00E35E13" w:rsidP="00CE0587">
      <w:pPr>
        <w:ind w:left="540" w:right="338"/>
        <w:rPr>
          <w:sz w:val="24"/>
          <w:szCs w:val="24"/>
        </w:rPr>
      </w:pPr>
    </w:p>
    <w:p w14:paraId="22DD840A" w14:textId="40666127" w:rsidR="00CE0587" w:rsidRPr="00EE30D6" w:rsidRDefault="00A12FAE" w:rsidP="00E35E13">
      <w:pPr>
        <w:ind w:left="450" w:right="338"/>
        <w:rPr>
          <w:sz w:val="24"/>
          <w:szCs w:val="24"/>
        </w:rPr>
      </w:pPr>
      <w:r>
        <w:rPr>
          <w:sz w:val="24"/>
          <w:szCs w:val="24"/>
        </w:rPr>
        <w:t xml:space="preserve">[Note: </w:t>
      </w:r>
      <w:r w:rsidR="00CE0587" w:rsidRPr="00EE30D6">
        <w:rPr>
          <w:sz w:val="24"/>
          <w:szCs w:val="24"/>
        </w:rPr>
        <w:t>Beginning January 1, 2019, providers whose ADR “cycle” limit is less than one, even though their “annual” ADR limit is greater than one (e.g. 1, 2, 3, or 4), will have their ADR cycle limit set at one (1) additional documentation request per 45 days, until their “annual” ADR limit has been reached.</w:t>
      </w:r>
      <w:r>
        <w:rPr>
          <w:sz w:val="24"/>
          <w:szCs w:val="24"/>
        </w:rPr>
        <w:t>]</w:t>
      </w:r>
    </w:p>
    <w:p w14:paraId="271F32CD" w14:textId="62427C1F" w:rsidR="00CE0587" w:rsidRDefault="00CE0587" w:rsidP="00CE0587">
      <w:pPr>
        <w:spacing w:line="259" w:lineRule="auto"/>
        <w:rPr>
          <w:sz w:val="24"/>
          <w:szCs w:val="24"/>
        </w:rPr>
      </w:pPr>
      <w:r w:rsidRPr="00EE30D6">
        <w:rPr>
          <w:sz w:val="24"/>
          <w:szCs w:val="24"/>
        </w:rPr>
        <w:t xml:space="preserve"> </w:t>
      </w:r>
    </w:p>
    <w:p w14:paraId="72EC9AAB" w14:textId="77777777" w:rsidR="00CE0587" w:rsidRPr="00EE30D6" w:rsidRDefault="00CE0587" w:rsidP="00CE0587">
      <w:pPr>
        <w:spacing w:after="3"/>
        <w:ind w:left="461" w:hanging="10"/>
        <w:rPr>
          <w:sz w:val="24"/>
          <w:szCs w:val="24"/>
        </w:rPr>
      </w:pPr>
      <w:r w:rsidRPr="00EE30D6">
        <w:rPr>
          <w:sz w:val="24"/>
          <w:szCs w:val="24"/>
        </w:rPr>
        <w:t xml:space="preserve">For example: </w:t>
      </w:r>
    </w:p>
    <w:p w14:paraId="616B4C0A" w14:textId="4A17D690" w:rsidR="00CE0587" w:rsidRPr="00EE30D6" w:rsidRDefault="00CE0587" w:rsidP="007F0942">
      <w:pPr>
        <w:pStyle w:val="ListParagraph"/>
        <w:widowControl/>
        <w:numPr>
          <w:ilvl w:val="0"/>
          <w:numId w:val="4"/>
        </w:numPr>
        <w:autoSpaceDE/>
        <w:autoSpaceDN/>
        <w:spacing w:after="3" w:line="259" w:lineRule="auto"/>
        <w:ind w:left="1166" w:right="169" w:hanging="10"/>
        <w:rPr>
          <w:sz w:val="24"/>
          <w:szCs w:val="24"/>
        </w:rPr>
      </w:pPr>
      <w:r w:rsidRPr="00EE30D6">
        <w:rPr>
          <w:b/>
          <w:sz w:val="24"/>
          <w:szCs w:val="24"/>
        </w:rPr>
        <w:t>Provider C</w:t>
      </w:r>
      <w:r w:rsidRPr="00EE30D6">
        <w:rPr>
          <w:sz w:val="24"/>
          <w:szCs w:val="24"/>
        </w:rPr>
        <w:t xml:space="preserve"> billed and was paid for 400 Medicare claims in a previous 12-month period.</w:t>
      </w:r>
      <w:r w:rsidR="00E35E13" w:rsidRPr="00EE30D6">
        <w:rPr>
          <w:sz w:val="24"/>
          <w:szCs w:val="24"/>
        </w:rPr>
        <w:t xml:space="preserve"> </w:t>
      </w:r>
      <w:r w:rsidRPr="00EE30D6">
        <w:rPr>
          <w:sz w:val="24"/>
          <w:szCs w:val="24"/>
        </w:rPr>
        <w:t xml:space="preserve"> The provider’s baseline annual ADR limit would be 400 x 0.005, which is two (2).</w:t>
      </w:r>
      <w:r w:rsidR="00E35E13" w:rsidRPr="00EE30D6">
        <w:rPr>
          <w:sz w:val="24"/>
          <w:szCs w:val="24"/>
        </w:rPr>
        <w:t xml:space="preserve"> </w:t>
      </w:r>
      <w:r w:rsidRPr="00EE30D6">
        <w:rPr>
          <w:sz w:val="24"/>
          <w:szCs w:val="24"/>
        </w:rPr>
        <w:t xml:space="preserve"> The ADR cycle limit would be 2/8, which is less than one. </w:t>
      </w:r>
      <w:r w:rsidR="00E35E13" w:rsidRPr="00EE30D6">
        <w:rPr>
          <w:sz w:val="24"/>
          <w:szCs w:val="24"/>
        </w:rPr>
        <w:t xml:space="preserve"> </w:t>
      </w:r>
      <w:r w:rsidRPr="00EE30D6">
        <w:rPr>
          <w:sz w:val="24"/>
          <w:szCs w:val="24"/>
        </w:rPr>
        <w:t xml:space="preserve">Therefore, this </w:t>
      </w:r>
      <w:r w:rsidRPr="00EE30D6">
        <w:rPr>
          <w:sz w:val="24"/>
          <w:szCs w:val="24"/>
        </w:rPr>
        <w:lastRenderedPageBreak/>
        <w:t>provider’s ADR cycle limit will be set at one (1) additional documentation request per 45 days, until their “annual” ADR limit, which in this examp</w:t>
      </w:r>
      <w:r w:rsidR="00E35E13" w:rsidRPr="00EE30D6">
        <w:rPr>
          <w:sz w:val="24"/>
          <w:szCs w:val="24"/>
        </w:rPr>
        <w:t xml:space="preserve">le is two (2), has been reached.  </w:t>
      </w:r>
      <w:r w:rsidRPr="00EE30D6">
        <w:rPr>
          <w:sz w:val="24"/>
          <w:szCs w:val="24"/>
        </w:rPr>
        <w:t xml:space="preserve">In other words, Provider C can receive </w:t>
      </w:r>
      <w:r w:rsidRPr="00EE30D6">
        <w:rPr>
          <w:b/>
          <w:sz w:val="24"/>
          <w:szCs w:val="24"/>
        </w:rPr>
        <w:t>one</w:t>
      </w:r>
      <w:r w:rsidRPr="00EE30D6">
        <w:rPr>
          <w:sz w:val="24"/>
          <w:szCs w:val="24"/>
        </w:rPr>
        <w:t xml:space="preserve"> (1) additional documentation request for </w:t>
      </w:r>
      <w:r w:rsidRPr="00EE30D6">
        <w:rPr>
          <w:b/>
          <w:sz w:val="24"/>
          <w:szCs w:val="24"/>
        </w:rPr>
        <w:t>two</w:t>
      </w:r>
      <w:r w:rsidRPr="00EE30D6">
        <w:rPr>
          <w:sz w:val="24"/>
          <w:szCs w:val="24"/>
        </w:rPr>
        <w:t xml:space="preserve"> (2) of the eight (8) ADR cycles, per year. </w:t>
      </w:r>
    </w:p>
    <w:p w14:paraId="29049615" w14:textId="5FD26337" w:rsidR="00CE0587" w:rsidRPr="00EE30D6" w:rsidRDefault="00CE0587">
      <w:pPr>
        <w:pStyle w:val="BodyText"/>
        <w:spacing w:before="9"/>
      </w:pPr>
    </w:p>
    <w:p w14:paraId="2FFE626C" w14:textId="43785532" w:rsidR="0060554F" w:rsidRPr="00EE30D6" w:rsidRDefault="00115898">
      <w:pPr>
        <w:pStyle w:val="ListParagraph"/>
        <w:numPr>
          <w:ilvl w:val="0"/>
          <w:numId w:val="1"/>
        </w:numPr>
        <w:tabs>
          <w:tab w:val="left" w:pos="480"/>
        </w:tabs>
        <w:ind w:right="1339" w:hanging="363"/>
        <w:rPr>
          <w:sz w:val="24"/>
          <w:szCs w:val="24"/>
        </w:rPr>
      </w:pPr>
      <w:r w:rsidRPr="00EE30D6">
        <w:rPr>
          <w:sz w:val="24"/>
          <w:szCs w:val="24"/>
        </w:rPr>
        <w:t>ADR limits must be diversified across all claim types of a facility, based on</w:t>
      </w:r>
      <w:r w:rsidRPr="00EE30D6">
        <w:rPr>
          <w:spacing w:val="-40"/>
          <w:sz w:val="24"/>
          <w:szCs w:val="24"/>
        </w:rPr>
        <w:t xml:space="preserve"> </w:t>
      </w:r>
      <w:r w:rsidRPr="00EE30D6">
        <w:rPr>
          <w:sz w:val="24"/>
          <w:szCs w:val="24"/>
        </w:rPr>
        <w:t>the Types of Bill (TOB) that the provider was paid for in the previous</w:t>
      </w:r>
      <w:r w:rsidRPr="00EE30D6">
        <w:rPr>
          <w:spacing w:val="-33"/>
          <w:sz w:val="24"/>
          <w:szCs w:val="24"/>
        </w:rPr>
        <w:t xml:space="preserve"> </w:t>
      </w:r>
      <w:r w:rsidRPr="00EE30D6">
        <w:rPr>
          <w:sz w:val="24"/>
          <w:szCs w:val="24"/>
        </w:rPr>
        <w:t>year.</w:t>
      </w:r>
      <w:r w:rsidR="00CE0587" w:rsidRPr="00EE30D6">
        <w:rPr>
          <w:sz w:val="24"/>
          <w:szCs w:val="24"/>
        </w:rPr>
        <w:t xml:space="preserve"> </w:t>
      </w:r>
      <w:r w:rsidR="00E35E13" w:rsidRPr="00EE30D6">
        <w:rPr>
          <w:sz w:val="24"/>
          <w:szCs w:val="24"/>
        </w:rPr>
        <w:t xml:space="preserve"> </w:t>
      </w:r>
      <w:r w:rsidR="00CE0587" w:rsidRPr="00EE30D6">
        <w:rPr>
          <w:sz w:val="24"/>
          <w:szCs w:val="24"/>
        </w:rPr>
        <w:t>Therefore, a provider will have a separate ADR limit for each TOB.</w:t>
      </w:r>
    </w:p>
    <w:p w14:paraId="4D1284F4" w14:textId="7A693ED8" w:rsidR="0060554F" w:rsidRPr="00EE30D6" w:rsidRDefault="0060554F">
      <w:pPr>
        <w:rPr>
          <w:sz w:val="24"/>
          <w:szCs w:val="24"/>
        </w:rPr>
      </w:pPr>
    </w:p>
    <w:p w14:paraId="329CE2F3" w14:textId="47BB4F21" w:rsidR="00E35E13" w:rsidRPr="00EE30D6" w:rsidRDefault="00E35E13">
      <w:pPr>
        <w:rPr>
          <w:sz w:val="24"/>
          <w:szCs w:val="24"/>
        </w:rPr>
      </w:pPr>
    </w:p>
    <w:p w14:paraId="34538B35" w14:textId="015ED0CA" w:rsidR="00E35E13" w:rsidRPr="00EE30D6" w:rsidRDefault="00115898" w:rsidP="00102584">
      <w:pPr>
        <w:pStyle w:val="Heading1"/>
        <w:spacing w:before="0" w:after="240"/>
        <w:ind w:left="115"/>
      </w:pPr>
      <w:r w:rsidRPr="00EE30D6">
        <w:t>Risk-Based</w:t>
      </w:r>
      <w:r w:rsidR="000B4A51" w:rsidRPr="00EE30D6">
        <w:t>, Adjusted ADR Limits (Updated 1</w:t>
      </w:r>
      <w:r w:rsidRPr="00EE30D6">
        <w:t>/</w:t>
      </w:r>
      <w:r w:rsidR="000B4A51" w:rsidRPr="00EE30D6">
        <w:t>2</w:t>
      </w:r>
      <w:r w:rsidR="00382C21" w:rsidRPr="00EE30D6">
        <w:t>9</w:t>
      </w:r>
      <w:r w:rsidRPr="00EE30D6">
        <w:t>/201</w:t>
      </w:r>
      <w:r w:rsidR="00382C21" w:rsidRPr="00EE30D6">
        <w:t>8</w:t>
      </w:r>
      <w:r w:rsidRPr="00EE30D6">
        <w:t>)</w:t>
      </w:r>
    </w:p>
    <w:p w14:paraId="05C45177" w14:textId="40EC5660" w:rsidR="0060554F" w:rsidRPr="00EE30D6" w:rsidRDefault="00115898">
      <w:pPr>
        <w:pStyle w:val="ListParagraph"/>
        <w:numPr>
          <w:ilvl w:val="0"/>
          <w:numId w:val="1"/>
        </w:numPr>
        <w:tabs>
          <w:tab w:val="left" w:pos="480"/>
        </w:tabs>
        <w:ind w:right="443"/>
        <w:rPr>
          <w:sz w:val="24"/>
          <w:szCs w:val="24"/>
        </w:rPr>
      </w:pPr>
      <w:r w:rsidRPr="00EE30D6">
        <w:rPr>
          <w:sz w:val="24"/>
          <w:szCs w:val="24"/>
        </w:rPr>
        <w:t xml:space="preserve">After three (3) 45-day ADR cycles, CMS will calculate (or recalculate) a provider’s Denial Rate, which reflects their compliance with Medicare rules. </w:t>
      </w:r>
      <w:r w:rsidR="00EE30D6" w:rsidRPr="00EE30D6">
        <w:rPr>
          <w:sz w:val="24"/>
          <w:szCs w:val="24"/>
        </w:rPr>
        <w:t xml:space="preserve"> </w:t>
      </w:r>
      <w:r w:rsidRPr="00EE30D6">
        <w:rPr>
          <w:sz w:val="24"/>
          <w:szCs w:val="24"/>
        </w:rPr>
        <w:t xml:space="preserve">The </w:t>
      </w:r>
      <w:r w:rsidRPr="00EE30D6">
        <w:rPr>
          <w:b/>
          <w:sz w:val="24"/>
          <w:szCs w:val="24"/>
        </w:rPr>
        <w:t xml:space="preserve">Denial Rate </w:t>
      </w:r>
      <w:r w:rsidRPr="00EE30D6">
        <w:rPr>
          <w:sz w:val="24"/>
          <w:szCs w:val="24"/>
        </w:rPr>
        <w:t xml:space="preserve">will be calculated using the number of claims containing </w:t>
      </w:r>
      <w:r w:rsidR="00382C21" w:rsidRPr="00EE30D6">
        <w:rPr>
          <w:sz w:val="24"/>
          <w:szCs w:val="24"/>
        </w:rPr>
        <w:t xml:space="preserve">improper payments that resulted in </w:t>
      </w:r>
      <w:r w:rsidR="000B4A51" w:rsidRPr="00EE30D6">
        <w:rPr>
          <w:sz w:val="24"/>
          <w:szCs w:val="24"/>
        </w:rPr>
        <w:t>overpayments</w:t>
      </w:r>
      <w:r w:rsidRPr="00EE30D6">
        <w:rPr>
          <w:sz w:val="24"/>
          <w:szCs w:val="24"/>
        </w:rPr>
        <w:t xml:space="preserve"> (less any determinations that are overturned</w:t>
      </w:r>
      <w:r w:rsidR="00BE4B2A">
        <w:rPr>
          <w:rStyle w:val="FootnoteReference"/>
          <w:sz w:val="24"/>
          <w:szCs w:val="24"/>
        </w:rPr>
        <w:footnoteReference w:id="2"/>
      </w:r>
      <w:r w:rsidRPr="00EE30D6">
        <w:rPr>
          <w:sz w:val="24"/>
          <w:szCs w:val="24"/>
        </w:rPr>
        <w:t xml:space="preserve"> during appeal) divided by the total number of reviewed claims, expressed as a percentage</w:t>
      </w:r>
      <w:r w:rsidR="00CE0587" w:rsidRPr="00EE30D6">
        <w:rPr>
          <w:sz w:val="24"/>
          <w:szCs w:val="24"/>
        </w:rPr>
        <w:t>.</w:t>
      </w:r>
      <w:r w:rsidR="00E35E13" w:rsidRPr="00EE30D6">
        <w:rPr>
          <w:sz w:val="24"/>
          <w:szCs w:val="24"/>
        </w:rPr>
        <w:t xml:space="preserve"> </w:t>
      </w:r>
      <w:r w:rsidR="00CE0587" w:rsidRPr="00EE30D6">
        <w:rPr>
          <w:sz w:val="24"/>
          <w:szCs w:val="24"/>
        </w:rPr>
        <w:t xml:space="preserve"> CMS will perform this calculation using data from the most recent 12-months of completed reviews.</w:t>
      </w:r>
      <w:r w:rsidR="00EE30D6" w:rsidRPr="00EE30D6">
        <w:rPr>
          <w:sz w:val="24"/>
          <w:szCs w:val="24"/>
        </w:rPr>
        <w:t xml:space="preserve"> </w:t>
      </w:r>
      <w:r w:rsidRPr="00EE30D6">
        <w:rPr>
          <w:sz w:val="24"/>
          <w:szCs w:val="24"/>
        </w:rPr>
        <w:t xml:space="preserve"> The Denial Rate</w:t>
      </w:r>
      <w:r w:rsidRPr="00EE30D6">
        <w:rPr>
          <w:spacing w:val="-19"/>
          <w:sz w:val="24"/>
          <w:szCs w:val="24"/>
        </w:rPr>
        <w:t xml:space="preserve"> </w:t>
      </w:r>
      <w:r w:rsidRPr="00EE30D6">
        <w:rPr>
          <w:sz w:val="24"/>
          <w:szCs w:val="24"/>
        </w:rPr>
        <w:t xml:space="preserve">will then be used to identify a provider’s corresponding “Adjusted” ADR Limit, based on </w:t>
      </w:r>
      <w:r w:rsidRPr="00EE30D6">
        <w:rPr>
          <w:b/>
          <w:sz w:val="24"/>
          <w:szCs w:val="24"/>
        </w:rPr>
        <w:t>Table 1</w:t>
      </w:r>
      <w:r w:rsidRPr="00EE30D6">
        <w:rPr>
          <w:sz w:val="24"/>
          <w:szCs w:val="24"/>
        </w:rPr>
        <w:t>, below.</w:t>
      </w:r>
      <w:r w:rsidR="00A12FAE">
        <w:rPr>
          <w:sz w:val="24"/>
          <w:szCs w:val="24"/>
        </w:rPr>
        <w:t xml:space="preserve"> </w:t>
      </w:r>
      <w:r w:rsidRPr="00EE30D6">
        <w:rPr>
          <w:sz w:val="24"/>
          <w:szCs w:val="24"/>
        </w:rPr>
        <w:t xml:space="preserve"> </w:t>
      </w:r>
      <w:r w:rsidR="00AA3D7C">
        <w:rPr>
          <w:sz w:val="24"/>
          <w:szCs w:val="24"/>
        </w:rPr>
        <w:t>Once calculated, t</w:t>
      </w:r>
      <w:r w:rsidRPr="00EE30D6">
        <w:rPr>
          <w:sz w:val="24"/>
          <w:szCs w:val="24"/>
        </w:rPr>
        <w:t xml:space="preserve">he </w:t>
      </w:r>
      <w:r w:rsidRPr="00EE30D6">
        <w:rPr>
          <w:b/>
          <w:sz w:val="24"/>
          <w:szCs w:val="24"/>
        </w:rPr>
        <w:t xml:space="preserve">Adjusted ADR Limit </w:t>
      </w:r>
      <w:r w:rsidRPr="00EE30D6">
        <w:rPr>
          <w:sz w:val="24"/>
          <w:szCs w:val="24"/>
        </w:rPr>
        <w:t>will be used for the next three (3) 45-day ADR</w:t>
      </w:r>
      <w:r w:rsidRPr="00EE30D6">
        <w:rPr>
          <w:spacing w:val="-7"/>
          <w:sz w:val="24"/>
          <w:szCs w:val="24"/>
        </w:rPr>
        <w:t xml:space="preserve"> </w:t>
      </w:r>
      <w:r w:rsidRPr="00EE30D6">
        <w:rPr>
          <w:sz w:val="24"/>
          <w:szCs w:val="24"/>
        </w:rPr>
        <w:t>cycles</w:t>
      </w:r>
      <w:r w:rsidR="007D4F1F" w:rsidRPr="00EE30D6">
        <w:rPr>
          <w:sz w:val="24"/>
          <w:szCs w:val="24"/>
        </w:rPr>
        <w:t>, after which, the Denial Rate (and Adjusted ADR Limits) will be re-calculated</w:t>
      </w:r>
      <w:r w:rsidRPr="00EE30D6">
        <w:rPr>
          <w:sz w:val="24"/>
          <w:szCs w:val="24"/>
        </w:rPr>
        <w:t>.</w:t>
      </w:r>
    </w:p>
    <w:p w14:paraId="5775E406" w14:textId="77777777" w:rsidR="0060554F" w:rsidRPr="00EE30D6" w:rsidRDefault="0060554F">
      <w:pPr>
        <w:pStyle w:val="BodyText"/>
        <w:spacing w:before="7"/>
      </w:pPr>
    </w:p>
    <w:p w14:paraId="60B990F2" w14:textId="77777777" w:rsidR="0060554F" w:rsidRPr="00EE30D6" w:rsidRDefault="00115898">
      <w:pPr>
        <w:pStyle w:val="Heading1"/>
        <w:spacing w:before="1" w:after="3"/>
        <w:ind w:left="700"/>
      </w:pPr>
      <w:r w:rsidRPr="00EE30D6">
        <w:t>Table 1:</w:t>
      </w: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5491"/>
      </w:tblGrid>
      <w:tr w:rsidR="0060554F" w:rsidRPr="00EE30D6" w14:paraId="6A572F62" w14:textId="77777777" w:rsidTr="00102584">
        <w:trPr>
          <w:trHeight w:hRule="exact" w:val="286"/>
        </w:trPr>
        <w:tc>
          <w:tcPr>
            <w:tcW w:w="2429" w:type="dxa"/>
            <w:tcBorders>
              <w:right w:val="single" w:sz="4" w:space="0" w:color="auto"/>
            </w:tcBorders>
          </w:tcPr>
          <w:p w14:paraId="49FA7ACA" w14:textId="77777777" w:rsidR="0060554F" w:rsidRPr="00EE30D6" w:rsidRDefault="00115898">
            <w:pPr>
              <w:pStyle w:val="TableParagraph"/>
              <w:spacing w:line="273" w:lineRule="exact"/>
              <w:ind w:left="167" w:right="0"/>
              <w:jc w:val="left"/>
              <w:rPr>
                <w:b/>
                <w:sz w:val="24"/>
                <w:szCs w:val="24"/>
              </w:rPr>
            </w:pPr>
            <w:r w:rsidRPr="00EE30D6">
              <w:rPr>
                <w:b/>
                <w:sz w:val="24"/>
                <w:szCs w:val="24"/>
              </w:rPr>
              <w:t>Denial Rate (Range)</w:t>
            </w:r>
          </w:p>
        </w:tc>
        <w:tc>
          <w:tcPr>
            <w:tcW w:w="5491" w:type="dxa"/>
            <w:tcBorders>
              <w:top w:val="single" w:sz="4" w:space="0" w:color="auto"/>
              <w:left w:val="single" w:sz="4" w:space="0" w:color="auto"/>
              <w:bottom w:val="single" w:sz="4" w:space="0" w:color="auto"/>
              <w:right w:val="single" w:sz="4" w:space="0" w:color="auto"/>
            </w:tcBorders>
          </w:tcPr>
          <w:p w14:paraId="29458049" w14:textId="77777777" w:rsidR="0060554F" w:rsidRPr="00EE30D6" w:rsidRDefault="00115898">
            <w:pPr>
              <w:pStyle w:val="TableParagraph"/>
              <w:spacing w:line="273" w:lineRule="exact"/>
              <w:ind w:left="329"/>
              <w:rPr>
                <w:b/>
                <w:sz w:val="24"/>
                <w:szCs w:val="24"/>
              </w:rPr>
            </w:pPr>
            <w:r w:rsidRPr="00EE30D6">
              <w:rPr>
                <w:b/>
                <w:sz w:val="24"/>
                <w:szCs w:val="24"/>
              </w:rPr>
              <w:t>Adjusted ADR Limit (% of Total Paid Claims)</w:t>
            </w:r>
          </w:p>
        </w:tc>
      </w:tr>
      <w:tr w:rsidR="0060554F" w:rsidRPr="00EE30D6" w14:paraId="127CC667" w14:textId="77777777" w:rsidTr="00102584">
        <w:trPr>
          <w:trHeight w:hRule="exact" w:val="286"/>
        </w:trPr>
        <w:tc>
          <w:tcPr>
            <w:tcW w:w="2429" w:type="dxa"/>
          </w:tcPr>
          <w:p w14:paraId="2DC1ABA7" w14:textId="77777777" w:rsidR="0060554F" w:rsidRPr="00EE30D6" w:rsidRDefault="00115898">
            <w:pPr>
              <w:pStyle w:val="TableParagraph"/>
              <w:ind w:right="100"/>
              <w:jc w:val="right"/>
              <w:rPr>
                <w:sz w:val="24"/>
                <w:szCs w:val="24"/>
              </w:rPr>
            </w:pPr>
            <w:r w:rsidRPr="00EE30D6">
              <w:rPr>
                <w:sz w:val="24"/>
                <w:szCs w:val="24"/>
              </w:rPr>
              <w:t>91 – 100%</w:t>
            </w:r>
          </w:p>
        </w:tc>
        <w:tc>
          <w:tcPr>
            <w:tcW w:w="5491" w:type="dxa"/>
            <w:tcBorders>
              <w:top w:val="single" w:sz="4" w:space="0" w:color="auto"/>
            </w:tcBorders>
          </w:tcPr>
          <w:p w14:paraId="79E2F277" w14:textId="77777777" w:rsidR="0060554F" w:rsidRPr="00EE30D6" w:rsidRDefault="00115898">
            <w:pPr>
              <w:pStyle w:val="TableParagraph"/>
              <w:ind w:left="329"/>
              <w:rPr>
                <w:sz w:val="24"/>
                <w:szCs w:val="24"/>
              </w:rPr>
            </w:pPr>
            <w:r w:rsidRPr="00EE30D6">
              <w:rPr>
                <w:sz w:val="24"/>
                <w:szCs w:val="24"/>
              </w:rPr>
              <w:t>5.0%</w:t>
            </w:r>
            <w:r w:rsidR="007D4F1F" w:rsidRPr="00EE30D6">
              <w:rPr>
                <w:sz w:val="24"/>
                <w:szCs w:val="24"/>
              </w:rPr>
              <w:t xml:space="preserve">  (Baseline x 10)</w:t>
            </w:r>
          </w:p>
        </w:tc>
      </w:tr>
      <w:tr w:rsidR="0060554F" w:rsidRPr="00EE30D6" w14:paraId="5761D3A0" w14:textId="77777777">
        <w:trPr>
          <w:trHeight w:hRule="exact" w:val="286"/>
        </w:trPr>
        <w:tc>
          <w:tcPr>
            <w:tcW w:w="2429" w:type="dxa"/>
          </w:tcPr>
          <w:p w14:paraId="57D42AF8" w14:textId="77777777" w:rsidR="0060554F" w:rsidRPr="00EE30D6" w:rsidRDefault="00115898">
            <w:pPr>
              <w:pStyle w:val="TableParagraph"/>
              <w:ind w:right="100"/>
              <w:jc w:val="right"/>
              <w:rPr>
                <w:sz w:val="24"/>
                <w:szCs w:val="24"/>
              </w:rPr>
            </w:pPr>
            <w:r w:rsidRPr="00EE30D6">
              <w:rPr>
                <w:sz w:val="24"/>
                <w:szCs w:val="24"/>
              </w:rPr>
              <w:t>71 – 90%</w:t>
            </w:r>
          </w:p>
        </w:tc>
        <w:tc>
          <w:tcPr>
            <w:tcW w:w="5491" w:type="dxa"/>
          </w:tcPr>
          <w:p w14:paraId="018145DD" w14:textId="77777777" w:rsidR="0060554F" w:rsidRPr="00EE30D6" w:rsidRDefault="00115898">
            <w:pPr>
              <w:pStyle w:val="TableParagraph"/>
              <w:ind w:left="329"/>
              <w:rPr>
                <w:sz w:val="24"/>
                <w:szCs w:val="24"/>
              </w:rPr>
            </w:pPr>
            <w:r w:rsidRPr="00EE30D6">
              <w:rPr>
                <w:sz w:val="24"/>
                <w:szCs w:val="24"/>
              </w:rPr>
              <w:t>4.0%</w:t>
            </w:r>
            <w:r w:rsidR="007D4F1F" w:rsidRPr="00EE30D6">
              <w:rPr>
                <w:sz w:val="24"/>
                <w:szCs w:val="24"/>
              </w:rPr>
              <w:t xml:space="preserve">  (Baseline x  8)</w:t>
            </w:r>
          </w:p>
        </w:tc>
      </w:tr>
      <w:tr w:rsidR="0060554F" w:rsidRPr="00EE30D6" w14:paraId="767884A9" w14:textId="77777777">
        <w:trPr>
          <w:trHeight w:hRule="exact" w:val="288"/>
        </w:trPr>
        <w:tc>
          <w:tcPr>
            <w:tcW w:w="2429" w:type="dxa"/>
          </w:tcPr>
          <w:p w14:paraId="5F007EA3" w14:textId="77777777" w:rsidR="0060554F" w:rsidRPr="00EE30D6" w:rsidRDefault="00115898">
            <w:pPr>
              <w:pStyle w:val="TableParagraph"/>
              <w:spacing w:line="270" w:lineRule="exact"/>
              <w:ind w:right="100"/>
              <w:jc w:val="right"/>
              <w:rPr>
                <w:sz w:val="24"/>
                <w:szCs w:val="24"/>
              </w:rPr>
            </w:pPr>
            <w:r w:rsidRPr="00EE30D6">
              <w:rPr>
                <w:sz w:val="24"/>
                <w:szCs w:val="24"/>
              </w:rPr>
              <w:t>51 – 70%</w:t>
            </w:r>
          </w:p>
        </w:tc>
        <w:tc>
          <w:tcPr>
            <w:tcW w:w="5491" w:type="dxa"/>
          </w:tcPr>
          <w:p w14:paraId="31070C88" w14:textId="77777777" w:rsidR="0060554F" w:rsidRPr="00EE30D6" w:rsidRDefault="00115898">
            <w:pPr>
              <w:pStyle w:val="TableParagraph"/>
              <w:spacing w:line="270" w:lineRule="exact"/>
              <w:ind w:left="329"/>
              <w:rPr>
                <w:sz w:val="24"/>
                <w:szCs w:val="24"/>
              </w:rPr>
            </w:pPr>
            <w:r w:rsidRPr="00EE30D6">
              <w:rPr>
                <w:sz w:val="24"/>
                <w:szCs w:val="24"/>
              </w:rPr>
              <w:t>3.0%</w:t>
            </w:r>
            <w:r w:rsidR="007D4F1F" w:rsidRPr="00EE30D6">
              <w:rPr>
                <w:sz w:val="24"/>
                <w:szCs w:val="24"/>
              </w:rPr>
              <w:t xml:space="preserve">  (Baseline x 6)</w:t>
            </w:r>
          </w:p>
        </w:tc>
      </w:tr>
      <w:tr w:rsidR="0060554F" w:rsidRPr="00EE30D6" w14:paraId="47B67549" w14:textId="77777777">
        <w:trPr>
          <w:trHeight w:hRule="exact" w:val="286"/>
        </w:trPr>
        <w:tc>
          <w:tcPr>
            <w:tcW w:w="2429" w:type="dxa"/>
          </w:tcPr>
          <w:p w14:paraId="08863DA3" w14:textId="77777777" w:rsidR="0060554F" w:rsidRPr="00EE30D6" w:rsidRDefault="00115898">
            <w:pPr>
              <w:pStyle w:val="TableParagraph"/>
              <w:ind w:right="100"/>
              <w:jc w:val="right"/>
              <w:rPr>
                <w:sz w:val="24"/>
                <w:szCs w:val="24"/>
              </w:rPr>
            </w:pPr>
            <w:r w:rsidRPr="00EE30D6">
              <w:rPr>
                <w:sz w:val="24"/>
                <w:szCs w:val="24"/>
              </w:rPr>
              <w:t>36 – 50%</w:t>
            </w:r>
          </w:p>
        </w:tc>
        <w:tc>
          <w:tcPr>
            <w:tcW w:w="5491" w:type="dxa"/>
          </w:tcPr>
          <w:p w14:paraId="20F73B9B" w14:textId="77777777" w:rsidR="0060554F" w:rsidRPr="00EE30D6" w:rsidRDefault="00115898">
            <w:pPr>
              <w:pStyle w:val="TableParagraph"/>
              <w:ind w:left="329"/>
              <w:rPr>
                <w:sz w:val="24"/>
                <w:szCs w:val="24"/>
              </w:rPr>
            </w:pPr>
            <w:r w:rsidRPr="00EE30D6">
              <w:rPr>
                <w:sz w:val="24"/>
                <w:szCs w:val="24"/>
              </w:rPr>
              <w:t>1.5%</w:t>
            </w:r>
            <w:r w:rsidR="007D4F1F" w:rsidRPr="00EE30D6">
              <w:rPr>
                <w:sz w:val="24"/>
                <w:szCs w:val="24"/>
              </w:rPr>
              <w:t xml:space="preserve">  (Baseline x 3)</w:t>
            </w:r>
          </w:p>
        </w:tc>
      </w:tr>
      <w:tr w:rsidR="0060554F" w:rsidRPr="00EE30D6" w14:paraId="515F85D4" w14:textId="77777777">
        <w:trPr>
          <w:trHeight w:hRule="exact" w:val="286"/>
        </w:trPr>
        <w:tc>
          <w:tcPr>
            <w:tcW w:w="2429" w:type="dxa"/>
          </w:tcPr>
          <w:p w14:paraId="3DBE5267" w14:textId="77777777" w:rsidR="0060554F" w:rsidRPr="00EE30D6" w:rsidRDefault="00115898">
            <w:pPr>
              <w:pStyle w:val="TableParagraph"/>
              <w:ind w:right="100"/>
              <w:jc w:val="right"/>
              <w:rPr>
                <w:sz w:val="24"/>
                <w:szCs w:val="24"/>
              </w:rPr>
            </w:pPr>
            <w:r w:rsidRPr="00EE30D6">
              <w:rPr>
                <w:sz w:val="24"/>
                <w:szCs w:val="24"/>
              </w:rPr>
              <w:t>21 – 35%</w:t>
            </w:r>
          </w:p>
        </w:tc>
        <w:tc>
          <w:tcPr>
            <w:tcW w:w="5491" w:type="dxa"/>
          </w:tcPr>
          <w:p w14:paraId="496C0DF0" w14:textId="77777777" w:rsidR="0060554F" w:rsidRPr="00EE30D6" w:rsidRDefault="00115898">
            <w:pPr>
              <w:pStyle w:val="TableParagraph"/>
              <w:ind w:left="329"/>
              <w:rPr>
                <w:sz w:val="24"/>
                <w:szCs w:val="24"/>
              </w:rPr>
            </w:pPr>
            <w:r w:rsidRPr="00EE30D6">
              <w:rPr>
                <w:sz w:val="24"/>
                <w:szCs w:val="24"/>
              </w:rPr>
              <w:t>1.0%</w:t>
            </w:r>
            <w:r w:rsidR="007D4F1F" w:rsidRPr="00EE30D6">
              <w:rPr>
                <w:sz w:val="24"/>
                <w:szCs w:val="24"/>
              </w:rPr>
              <w:t xml:space="preserve">  (Baseline x 2)</w:t>
            </w:r>
          </w:p>
        </w:tc>
      </w:tr>
      <w:tr w:rsidR="0060554F" w:rsidRPr="00EE30D6" w14:paraId="6FF3DA61" w14:textId="77777777">
        <w:trPr>
          <w:trHeight w:hRule="exact" w:val="286"/>
        </w:trPr>
        <w:tc>
          <w:tcPr>
            <w:tcW w:w="2429" w:type="dxa"/>
          </w:tcPr>
          <w:p w14:paraId="589E0775" w14:textId="77777777" w:rsidR="0060554F" w:rsidRPr="00EE30D6" w:rsidRDefault="00115898">
            <w:pPr>
              <w:pStyle w:val="TableParagraph"/>
              <w:ind w:right="100"/>
              <w:jc w:val="right"/>
              <w:rPr>
                <w:sz w:val="24"/>
                <w:szCs w:val="24"/>
              </w:rPr>
            </w:pPr>
            <w:r w:rsidRPr="00EE30D6">
              <w:rPr>
                <w:sz w:val="24"/>
                <w:szCs w:val="24"/>
              </w:rPr>
              <w:t>10 – 20%</w:t>
            </w:r>
          </w:p>
        </w:tc>
        <w:tc>
          <w:tcPr>
            <w:tcW w:w="5491" w:type="dxa"/>
          </w:tcPr>
          <w:p w14:paraId="4190ED7E" w14:textId="77777777" w:rsidR="0060554F" w:rsidRPr="00EE30D6" w:rsidRDefault="00115898">
            <w:pPr>
              <w:pStyle w:val="TableParagraph"/>
              <w:ind w:left="329"/>
              <w:rPr>
                <w:sz w:val="24"/>
                <w:szCs w:val="24"/>
              </w:rPr>
            </w:pPr>
            <w:r w:rsidRPr="00EE30D6">
              <w:rPr>
                <w:sz w:val="24"/>
                <w:szCs w:val="24"/>
              </w:rPr>
              <w:t>0.5%</w:t>
            </w:r>
            <w:r w:rsidR="007D4F1F" w:rsidRPr="00EE30D6">
              <w:rPr>
                <w:sz w:val="24"/>
                <w:szCs w:val="24"/>
              </w:rPr>
              <w:t xml:space="preserve">  (Baseline x 1)</w:t>
            </w:r>
          </w:p>
        </w:tc>
      </w:tr>
      <w:tr w:rsidR="0060554F" w:rsidRPr="00EE30D6" w14:paraId="1B690A3A" w14:textId="77777777">
        <w:trPr>
          <w:trHeight w:hRule="exact" w:val="286"/>
        </w:trPr>
        <w:tc>
          <w:tcPr>
            <w:tcW w:w="2429" w:type="dxa"/>
          </w:tcPr>
          <w:p w14:paraId="790DB2BF" w14:textId="77777777" w:rsidR="0060554F" w:rsidRPr="00EE30D6" w:rsidRDefault="00115898">
            <w:pPr>
              <w:pStyle w:val="TableParagraph"/>
              <w:ind w:right="100"/>
              <w:jc w:val="right"/>
              <w:rPr>
                <w:sz w:val="24"/>
                <w:szCs w:val="24"/>
              </w:rPr>
            </w:pPr>
            <w:r w:rsidRPr="00EE30D6">
              <w:rPr>
                <w:sz w:val="24"/>
                <w:szCs w:val="24"/>
              </w:rPr>
              <w:t>4 – 9%</w:t>
            </w:r>
          </w:p>
        </w:tc>
        <w:tc>
          <w:tcPr>
            <w:tcW w:w="5491" w:type="dxa"/>
          </w:tcPr>
          <w:p w14:paraId="1D8F3ECD" w14:textId="77777777" w:rsidR="0060554F" w:rsidRPr="00EE30D6" w:rsidRDefault="00115898">
            <w:pPr>
              <w:pStyle w:val="TableParagraph"/>
              <w:ind w:left="329"/>
              <w:rPr>
                <w:sz w:val="24"/>
                <w:szCs w:val="24"/>
              </w:rPr>
            </w:pPr>
            <w:r w:rsidRPr="00EE30D6">
              <w:rPr>
                <w:sz w:val="24"/>
                <w:szCs w:val="24"/>
              </w:rPr>
              <w:t>0.25%</w:t>
            </w:r>
            <w:r w:rsidR="007D4F1F" w:rsidRPr="00EE30D6">
              <w:rPr>
                <w:sz w:val="24"/>
                <w:szCs w:val="24"/>
              </w:rPr>
              <w:t xml:space="preserve">   (Baseline x ½)</w:t>
            </w:r>
          </w:p>
        </w:tc>
      </w:tr>
      <w:tr w:rsidR="0060554F" w:rsidRPr="00EE30D6" w14:paraId="581E4F0B" w14:textId="77777777">
        <w:trPr>
          <w:trHeight w:hRule="exact" w:val="286"/>
        </w:trPr>
        <w:tc>
          <w:tcPr>
            <w:tcW w:w="2429" w:type="dxa"/>
          </w:tcPr>
          <w:p w14:paraId="27BA1F0D" w14:textId="77777777" w:rsidR="0060554F" w:rsidRPr="00EE30D6" w:rsidRDefault="00115898">
            <w:pPr>
              <w:pStyle w:val="TableParagraph"/>
              <w:ind w:right="100"/>
              <w:jc w:val="right"/>
              <w:rPr>
                <w:sz w:val="24"/>
                <w:szCs w:val="24"/>
              </w:rPr>
            </w:pPr>
            <w:r w:rsidRPr="00EE30D6">
              <w:rPr>
                <w:sz w:val="24"/>
                <w:szCs w:val="24"/>
              </w:rPr>
              <w:t>0 – 3%</w:t>
            </w:r>
          </w:p>
        </w:tc>
        <w:tc>
          <w:tcPr>
            <w:tcW w:w="5491" w:type="dxa"/>
          </w:tcPr>
          <w:p w14:paraId="2A45F03E" w14:textId="77777777" w:rsidR="0060554F" w:rsidRPr="00EE30D6" w:rsidRDefault="00115898">
            <w:pPr>
              <w:pStyle w:val="TableParagraph"/>
              <w:ind w:left="325"/>
              <w:rPr>
                <w:sz w:val="24"/>
                <w:szCs w:val="24"/>
              </w:rPr>
            </w:pPr>
            <w:r w:rsidRPr="00EE30D6">
              <w:rPr>
                <w:sz w:val="24"/>
                <w:szCs w:val="24"/>
              </w:rPr>
              <w:t xml:space="preserve">No reviews for </w:t>
            </w:r>
            <w:r w:rsidR="007D4F1F" w:rsidRPr="00EE30D6">
              <w:rPr>
                <w:sz w:val="24"/>
                <w:szCs w:val="24"/>
              </w:rPr>
              <w:t xml:space="preserve">next </w:t>
            </w:r>
            <w:r w:rsidRPr="00EE30D6">
              <w:rPr>
                <w:sz w:val="24"/>
                <w:szCs w:val="24"/>
              </w:rPr>
              <w:t>3 (45-day) review cycles</w:t>
            </w:r>
          </w:p>
        </w:tc>
      </w:tr>
    </w:tbl>
    <w:p w14:paraId="1DCB2EA4" w14:textId="77777777" w:rsidR="0060554F" w:rsidRPr="00EE30D6" w:rsidRDefault="0060554F">
      <w:pPr>
        <w:pStyle w:val="BodyText"/>
        <w:spacing w:before="3"/>
        <w:rPr>
          <w:b/>
        </w:rPr>
      </w:pPr>
    </w:p>
    <w:p w14:paraId="16C914A9" w14:textId="77777777" w:rsidR="0060554F" w:rsidRPr="00EE30D6" w:rsidRDefault="00115898">
      <w:pPr>
        <w:pStyle w:val="BodyText"/>
        <w:spacing w:line="270" w:lineRule="exact"/>
        <w:ind w:left="700"/>
      </w:pPr>
      <w:r w:rsidRPr="00EE30D6">
        <w:t>For example:</w:t>
      </w:r>
    </w:p>
    <w:p w14:paraId="2CFF2163" w14:textId="6381CA5C" w:rsidR="00E35E13" w:rsidRPr="00EE30D6" w:rsidRDefault="00115898" w:rsidP="00544CDC">
      <w:pPr>
        <w:pStyle w:val="ListParagraph"/>
        <w:numPr>
          <w:ilvl w:val="1"/>
          <w:numId w:val="1"/>
        </w:numPr>
        <w:tabs>
          <w:tab w:val="left" w:pos="1420"/>
        </w:tabs>
        <w:spacing w:before="10" w:line="237" w:lineRule="auto"/>
        <w:ind w:left="1559" w:right="542"/>
        <w:rPr>
          <w:sz w:val="24"/>
          <w:szCs w:val="24"/>
        </w:rPr>
      </w:pPr>
      <w:r w:rsidRPr="00EE30D6">
        <w:rPr>
          <w:sz w:val="24"/>
          <w:szCs w:val="24"/>
        </w:rPr>
        <w:t xml:space="preserve">After three (3) 45-day review cycles, </w:t>
      </w:r>
      <w:r w:rsidRPr="00EE30D6">
        <w:rPr>
          <w:b/>
          <w:sz w:val="24"/>
          <w:szCs w:val="24"/>
        </w:rPr>
        <w:t xml:space="preserve">Provider A </w:t>
      </w:r>
      <w:r w:rsidR="000B4A51" w:rsidRPr="00EE30D6">
        <w:rPr>
          <w:sz w:val="24"/>
          <w:szCs w:val="24"/>
        </w:rPr>
        <w:t>had 2</w:t>
      </w:r>
      <w:r w:rsidR="00A254DE" w:rsidRPr="00EE30D6">
        <w:rPr>
          <w:sz w:val="24"/>
          <w:szCs w:val="24"/>
        </w:rPr>
        <w:t>0</w:t>
      </w:r>
      <w:r w:rsidRPr="00EE30D6">
        <w:rPr>
          <w:sz w:val="24"/>
          <w:szCs w:val="24"/>
        </w:rPr>
        <w:t xml:space="preserve"> claims containing improper payments</w:t>
      </w:r>
      <w:r w:rsidR="00A254DE" w:rsidRPr="00EE30D6">
        <w:rPr>
          <w:sz w:val="24"/>
          <w:szCs w:val="24"/>
        </w:rPr>
        <w:t xml:space="preserve"> (10 overpayments and 10 underpayments)</w:t>
      </w:r>
      <w:r w:rsidRPr="00EE30D6">
        <w:rPr>
          <w:sz w:val="24"/>
          <w:szCs w:val="24"/>
        </w:rPr>
        <w:t xml:space="preserve">, out of a </w:t>
      </w:r>
      <w:r w:rsidR="00596586">
        <w:rPr>
          <w:sz w:val="24"/>
          <w:szCs w:val="24"/>
        </w:rPr>
        <w:t>t</w:t>
      </w:r>
      <w:r w:rsidRPr="00EE30D6">
        <w:rPr>
          <w:sz w:val="24"/>
          <w:szCs w:val="24"/>
        </w:rPr>
        <w:t>otal of 42 reviewed claims</w:t>
      </w:r>
      <w:r w:rsidR="000B4A51" w:rsidRPr="00EE30D6">
        <w:rPr>
          <w:sz w:val="24"/>
          <w:szCs w:val="24"/>
        </w:rPr>
        <w:t xml:space="preserve">. </w:t>
      </w:r>
      <w:r w:rsidR="00A12FAE">
        <w:rPr>
          <w:sz w:val="24"/>
          <w:szCs w:val="24"/>
        </w:rPr>
        <w:t xml:space="preserve"> </w:t>
      </w:r>
      <w:r w:rsidRPr="00EE30D6">
        <w:rPr>
          <w:sz w:val="24"/>
          <w:szCs w:val="24"/>
        </w:rPr>
        <w:t xml:space="preserve">The Denial Rate would be </w:t>
      </w:r>
      <w:r w:rsidR="000B4A51" w:rsidRPr="00EE30D6">
        <w:rPr>
          <w:sz w:val="24"/>
          <w:szCs w:val="24"/>
        </w:rPr>
        <w:t>10</w:t>
      </w:r>
      <w:r w:rsidR="00A818B0" w:rsidRPr="00EE30D6">
        <w:rPr>
          <w:sz w:val="24"/>
          <w:szCs w:val="24"/>
        </w:rPr>
        <w:t xml:space="preserve"> ÷ </w:t>
      </w:r>
      <w:r w:rsidR="00962EAD" w:rsidRPr="00EE30D6">
        <w:rPr>
          <w:sz w:val="24"/>
          <w:szCs w:val="24"/>
        </w:rPr>
        <w:t>4</w:t>
      </w:r>
      <w:r w:rsidR="00A818B0" w:rsidRPr="00EE30D6">
        <w:rPr>
          <w:sz w:val="24"/>
          <w:szCs w:val="24"/>
        </w:rPr>
        <w:t xml:space="preserve">2, which </w:t>
      </w:r>
      <w:r w:rsidRPr="00EE30D6">
        <w:rPr>
          <w:sz w:val="24"/>
          <w:szCs w:val="24"/>
        </w:rPr>
        <w:t xml:space="preserve">is </w:t>
      </w:r>
      <w:r w:rsidR="00962EAD" w:rsidRPr="00EE30D6">
        <w:rPr>
          <w:sz w:val="24"/>
          <w:szCs w:val="24"/>
        </w:rPr>
        <w:t>23.8</w:t>
      </w:r>
      <w:r w:rsidR="00A818B0" w:rsidRPr="00EE30D6">
        <w:rPr>
          <w:sz w:val="24"/>
          <w:szCs w:val="24"/>
        </w:rPr>
        <w:t xml:space="preserve">% (rounded to </w:t>
      </w:r>
      <w:r w:rsidR="00C5607F">
        <w:rPr>
          <w:sz w:val="24"/>
          <w:szCs w:val="24"/>
        </w:rPr>
        <w:t>24</w:t>
      </w:r>
      <w:r w:rsidR="00A818B0" w:rsidRPr="00EE30D6">
        <w:rPr>
          <w:sz w:val="24"/>
          <w:szCs w:val="24"/>
        </w:rPr>
        <w:t>%)</w:t>
      </w:r>
      <w:r w:rsidRPr="00EE30D6">
        <w:rPr>
          <w:sz w:val="24"/>
          <w:szCs w:val="24"/>
        </w:rPr>
        <w:t xml:space="preserve">. </w:t>
      </w:r>
      <w:r w:rsidR="00A12FAE">
        <w:rPr>
          <w:sz w:val="24"/>
          <w:szCs w:val="24"/>
        </w:rPr>
        <w:t xml:space="preserve"> </w:t>
      </w:r>
      <w:r w:rsidRPr="00EE30D6">
        <w:rPr>
          <w:sz w:val="24"/>
          <w:szCs w:val="24"/>
        </w:rPr>
        <w:t>Using Table 1 above, the Adjusted ADR limit would be 1.</w:t>
      </w:r>
      <w:r w:rsidR="00A818B0" w:rsidRPr="00EE30D6">
        <w:rPr>
          <w:sz w:val="24"/>
          <w:szCs w:val="24"/>
        </w:rPr>
        <w:t>0</w:t>
      </w:r>
      <w:r w:rsidRPr="00EE30D6">
        <w:rPr>
          <w:sz w:val="24"/>
          <w:szCs w:val="24"/>
        </w:rPr>
        <w:t>%</w:t>
      </w:r>
      <w:r w:rsidR="00C5607F">
        <w:rPr>
          <w:sz w:val="24"/>
          <w:szCs w:val="24"/>
        </w:rPr>
        <w:t xml:space="preserve">, which is </w:t>
      </w:r>
      <w:r w:rsidR="00A818B0" w:rsidRPr="00EE30D6">
        <w:rPr>
          <w:sz w:val="24"/>
          <w:szCs w:val="24"/>
        </w:rPr>
        <w:t xml:space="preserve">two </w:t>
      </w:r>
      <w:r w:rsidRPr="00EE30D6">
        <w:rPr>
          <w:sz w:val="24"/>
          <w:szCs w:val="24"/>
        </w:rPr>
        <w:t>(</w:t>
      </w:r>
      <w:r w:rsidR="00A818B0" w:rsidRPr="00EE30D6">
        <w:rPr>
          <w:sz w:val="24"/>
          <w:szCs w:val="24"/>
        </w:rPr>
        <w:t>2</w:t>
      </w:r>
      <w:r w:rsidRPr="00EE30D6">
        <w:rPr>
          <w:sz w:val="24"/>
          <w:szCs w:val="24"/>
        </w:rPr>
        <w:t xml:space="preserve">) times the </w:t>
      </w:r>
      <w:r w:rsidR="00C5607F">
        <w:rPr>
          <w:sz w:val="24"/>
          <w:szCs w:val="24"/>
        </w:rPr>
        <w:t xml:space="preserve">annual </w:t>
      </w:r>
      <w:r w:rsidRPr="00EE30D6">
        <w:rPr>
          <w:sz w:val="24"/>
          <w:szCs w:val="24"/>
        </w:rPr>
        <w:t>baseline of 0.5%.</w:t>
      </w:r>
      <w:r w:rsidR="00A12FAE">
        <w:rPr>
          <w:sz w:val="24"/>
          <w:szCs w:val="24"/>
        </w:rPr>
        <w:t xml:space="preserve"> </w:t>
      </w:r>
      <w:r w:rsidR="00596586">
        <w:rPr>
          <w:sz w:val="24"/>
          <w:szCs w:val="24"/>
        </w:rPr>
        <w:t xml:space="preserve"> </w:t>
      </w:r>
      <w:r w:rsidR="00C5607F">
        <w:rPr>
          <w:sz w:val="24"/>
          <w:szCs w:val="24"/>
        </w:rPr>
        <w:t>This new (Adjusted) annual ADR limit is then divided by 8, to get the Adjusted ADR Limit per 45-day cycle.</w:t>
      </w:r>
      <w:r w:rsidRPr="00EE30D6">
        <w:rPr>
          <w:sz w:val="24"/>
          <w:szCs w:val="24"/>
        </w:rPr>
        <w:t xml:space="preserve"> </w:t>
      </w:r>
      <w:r w:rsidR="00596586">
        <w:rPr>
          <w:sz w:val="24"/>
          <w:szCs w:val="24"/>
        </w:rPr>
        <w:t xml:space="preserve"> </w:t>
      </w:r>
      <w:r w:rsidRPr="00EE30D6">
        <w:rPr>
          <w:sz w:val="24"/>
          <w:szCs w:val="24"/>
        </w:rPr>
        <w:t>In other words, Provider A ha</w:t>
      </w:r>
      <w:r w:rsidR="00596586">
        <w:rPr>
          <w:sz w:val="24"/>
          <w:szCs w:val="24"/>
        </w:rPr>
        <w:t>d</w:t>
      </w:r>
      <w:r w:rsidRPr="00EE30D6">
        <w:rPr>
          <w:sz w:val="24"/>
          <w:szCs w:val="24"/>
        </w:rPr>
        <w:t xml:space="preserve"> </w:t>
      </w:r>
      <w:r w:rsidR="00C5607F">
        <w:rPr>
          <w:sz w:val="24"/>
          <w:szCs w:val="24"/>
        </w:rPr>
        <w:t>a baseline annual ADR limit of 112</w:t>
      </w:r>
      <w:r w:rsidR="00596586">
        <w:rPr>
          <w:sz w:val="24"/>
          <w:szCs w:val="24"/>
        </w:rPr>
        <w:t>, and a</w:t>
      </w:r>
      <w:r w:rsidRPr="00EE30D6">
        <w:rPr>
          <w:sz w:val="24"/>
          <w:szCs w:val="24"/>
        </w:rPr>
        <w:t xml:space="preserve"> </w:t>
      </w:r>
      <w:r w:rsidR="00596586">
        <w:rPr>
          <w:sz w:val="24"/>
          <w:szCs w:val="24"/>
        </w:rPr>
        <w:t xml:space="preserve">45-day </w:t>
      </w:r>
      <w:r w:rsidRPr="00EE30D6">
        <w:rPr>
          <w:sz w:val="24"/>
          <w:szCs w:val="24"/>
        </w:rPr>
        <w:t>ADR cycle limit of 14</w:t>
      </w:r>
      <w:r w:rsidR="00596586">
        <w:rPr>
          <w:sz w:val="24"/>
          <w:szCs w:val="24"/>
        </w:rPr>
        <w:t xml:space="preserve">.  The Adjusted annual </w:t>
      </w:r>
      <w:r w:rsidRPr="00EE30D6">
        <w:rPr>
          <w:sz w:val="24"/>
          <w:szCs w:val="24"/>
        </w:rPr>
        <w:t xml:space="preserve">ADR Limit </w:t>
      </w:r>
      <w:r w:rsidR="00596586">
        <w:rPr>
          <w:sz w:val="24"/>
          <w:szCs w:val="24"/>
        </w:rPr>
        <w:t xml:space="preserve">is now two times the baseline (2 x 112), which is 224. This Adjusted annual ADR limit is then divided by 8 (224 ÷ 8), to get a new Adjusted ADR limit of 28, per 45-day cycle. </w:t>
      </w:r>
      <w:r w:rsidRPr="00EE30D6">
        <w:rPr>
          <w:sz w:val="24"/>
          <w:szCs w:val="24"/>
        </w:rPr>
        <w:t>This Adjusted ADR limit</w:t>
      </w:r>
      <w:r w:rsidR="00596586">
        <w:rPr>
          <w:sz w:val="24"/>
          <w:szCs w:val="24"/>
        </w:rPr>
        <w:t xml:space="preserve"> (28)</w:t>
      </w:r>
      <w:r w:rsidRPr="00EE30D6">
        <w:rPr>
          <w:sz w:val="24"/>
          <w:szCs w:val="24"/>
        </w:rPr>
        <w:t xml:space="preserve"> would then apply to the next three (3) review cycles, after which their Denial Rate</w:t>
      </w:r>
      <w:r w:rsidR="007D4F1F" w:rsidRPr="00EE30D6">
        <w:rPr>
          <w:sz w:val="24"/>
          <w:szCs w:val="24"/>
        </w:rPr>
        <w:t xml:space="preserve"> (and Adjusted ADR Limit)</w:t>
      </w:r>
      <w:r w:rsidRPr="00EE30D6">
        <w:rPr>
          <w:sz w:val="24"/>
          <w:szCs w:val="24"/>
        </w:rPr>
        <w:t xml:space="preserve"> w</w:t>
      </w:r>
      <w:r w:rsidR="00E35E13" w:rsidRPr="00EE30D6">
        <w:rPr>
          <w:sz w:val="24"/>
          <w:szCs w:val="24"/>
        </w:rPr>
        <w:t>ill</w:t>
      </w:r>
      <w:r w:rsidRPr="00EE30D6">
        <w:rPr>
          <w:sz w:val="24"/>
          <w:szCs w:val="24"/>
        </w:rPr>
        <w:t xml:space="preserve"> be</w:t>
      </w:r>
      <w:r w:rsidRPr="00EE30D6">
        <w:rPr>
          <w:spacing w:val="-7"/>
          <w:sz w:val="24"/>
          <w:szCs w:val="24"/>
        </w:rPr>
        <w:t xml:space="preserve"> </w:t>
      </w:r>
      <w:r w:rsidRPr="00EE30D6">
        <w:rPr>
          <w:sz w:val="24"/>
          <w:szCs w:val="24"/>
        </w:rPr>
        <w:t>recalculated.</w:t>
      </w:r>
    </w:p>
    <w:p w14:paraId="5A58E0C1" w14:textId="77777777" w:rsidR="00E35E13" w:rsidRPr="00EE30D6" w:rsidRDefault="00E35E13" w:rsidP="00E35E13">
      <w:pPr>
        <w:tabs>
          <w:tab w:val="left" w:pos="1420"/>
        </w:tabs>
        <w:spacing w:before="10" w:line="237" w:lineRule="auto"/>
        <w:ind w:right="542"/>
        <w:rPr>
          <w:sz w:val="24"/>
          <w:szCs w:val="24"/>
        </w:rPr>
      </w:pPr>
    </w:p>
    <w:p w14:paraId="38E48A5D" w14:textId="460242E1" w:rsidR="0060554F" w:rsidRPr="00EE30D6" w:rsidRDefault="00115898" w:rsidP="00544CDC">
      <w:pPr>
        <w:pStyle w:val="ListParagraph"/>
        <w:numPr>
          <w:ilvl w:val="1"/>
          <w:numId w:val="1"/>
        </w:numPr>
        <w:tabs>
          <w:tab w:val="left" w:pos="1420"/>
        </w:tabs>
        <w:spacing w:before="10" w:line="237" w:lineRule="auto"/>
        <w:ind w:left="1559" w:right="542"/>
        <w:rPr>
          <w:sz w:val="24"/>
          <w:szCs w:val="24"/>
        </w:rPr>
      </w:pPr>
      <w:r w:rsidRPr="00EE30D6">
        <w:rPr>
          <w:sz w:val="24"/>
          <w:szCs w:val="24"/>
        </w:rPr>
        <w:t xml:space="preserve">After three (3) 45-day review cycles, </w:t>
      </w:r>
      <w:r w:rsidRPr="00EE30D6">
        <w:rPr>
          <w:b/>
          <w:sz w:val="24"/>
          <w:szCs w:val="24"/>
        </w:rPr>
        <w:t xml:space="preserve">Provider B </w:t>
      </w:r>
      <w:r w:rsidRPr="00EE30D6">
        <w:rPr>
          <w:sz w:val="24"/>
          <w:szCs w:val="24"/>
        </w:rPr>
        <w:t>had 144 claims containing improper payments</w:t>
      </w:r>
      <w:r w:rsidR="00A254DE" w:rsidRPr="00EE30D6">
        <w:rPr>
          <w:sz w:val="24"/>
          <w:szCs w:val="24"/>
        </w:rPr>
        <w:t xml:space="preserve"> (124 overpayments and 20 underpayments)</w:t>
      </w:r>
      <w:r w:rsidRPr="00EE30D6">
        <w:rPr>
          <w:sz w:val="24"/>
          <w:szCs w:val="24"/>
        </w:rPr>
        <w:t>, out of a total of 477 reviewed claims.</w:t>
      </w:r>
      <w:r w:rsidR="00E35E13" w:rsidRPr="00EE30D6">
        <w:rPr>
          <w:sz w:val="24"/>
          <w:szCs w:val="24"/>
        </w:rPr>
        <w:t xml:space="preserve"> </w:t>
      </w:r>
      <w:r w:rsidR="00A818B0" w:rsidRPr="00EE30D6">
        <w:rPr>
          <w:sz w:val="24"/>
          <w:szCs w:val="24"/>
        </w:rPr>
        <w:t xml:space="preserve"> </w:t>
      </w:r>
      <w:r w:rsidRPr="00EE30D6">
        <w:rPr>
          <w:sz w:val="24"/>
          <w:szCs w:val="24"/>
        </w:rPr>
        <w:t xml:space="preserve">The Denial Rate would be </w:t>
      </w:r>
      <w:r w:rsidR="00A818B0" w:rsidRPr="00EE30D6">
        <w:rPr>
          <w:sz w:val="24"/>
          <w:szCs w:val="24"/>
        </w:rPr>
        <w:t>124 ÷ 4</w:t>
      </w:r>
      <w:r w:rsidR="00962EAD" w:rsidRPr="00EE30D6">
        <w:rPr>
          <w:sz w:val="24"/>
          <w:szCs w:val="24"/>
        </w:rPr>
        <w:t>7</w:t>
      </w:r>
      <w:r w:rsidR="00A818B0" w:rsidRPr="00EE30D6">
        <w:rPr>
          <w:sz w:val="24"/>
          <w:szCs w:val="24"/>
        </w:rPr>
        <w:t xml:space="preserve">7, </w:t>
      </w:r>
      <w:r w:rsidRPr="00EE30D6">
        <w:rPr>
          <w:sz w:val="24"/>
          <w:szCs w:val="24"/>
        </w:rPr>
        <w:t xml:space="preserve">which is </w:t>
      </w:r>
      <w:r w:rsidR="00962EAD" w:rsidRPr="00EE30D6">
        <w:rPr>
          <w:sz w:val="24"/>
          <w:szCs w:val="24"/>
        </w:rPr>
        <w:t>25.99</w:t>
      </w:r>
      <w:r w:rsidRPr="00EE30D6">
        <w:rPr>
          <w:sz w:val="24"/>
          <w:szCs w:val="24"/>
        </w:rPr>
        <w:t xml:space="preserve">% (rounded to </w:t>
      </w:r>
      <w:r w:rsidR="00A818B0" w:rsidRPr="00EE30D6">
        <w:rPr>
          <w:sz w:val="24"/>
          <w:szCs w:val="24"/>
        </w:rPr>
        <w:t>2</w:t>
      </w:r>
      <w:r w:rsidR="00962EAD" w:rsidRPr="00EE30D6">
        <w:rPr>
          <w:sz w:val="24"/>
          <w:szCs w:val="24"/>
        </w:rPr>
        <w:t>6</w:t>
      </w:r>
      <w:r w:rsidRPr="00EE30D6">
        <w:rPr>
          <w:sz w:val="24"/>
          <w:szCs w:val="24"/>
        </w:rPr>
        <w:t>%).</w:t>
      </w:r>
      <w:r w:rsidR="00A12FAE">
        <w:rPr>
          <w:sz w:val="24"/>
          <w:szCs w:val="24"/>
        </w:rPr>
        <w:t xml:space="preserve"> </w:t>
      </w:r>
      <w:r w:rsidRPr="00EE30D6">
        <w:rPr>
          <w:sz w:val="24"/>
          <w:szCs w:val="24"/>
        </w:rPr>
        <w:t xml:space="preserve"> </w:t>
      </w:r>
      <w:r w:rsidR="00962EAD" w:rsidRPr="00EE30D6">
        <w:rPr>
          <w:sz w:val="24"/>
          <w:szCs w:val="24"/>
        </w:rPr>
        <w:t xml:space="preserve">Using Table 1 above, the Adjusted ADR limit would be 1.0% (two (2) times the baseline of 0.5%). </w:t>
      </w:r>
      <w:r w:rsidR="00E35E13" w:rsidRPr="00EE30D6">
        <w:rPr>
          <w:sz w:val="24"/>
          <w:szCs w:val="24"/>
        </w:rPr>
        <w:t xml:space="preserve"> </w:t>
      </w:r>
      <w:r w:rsidR="00962EAD" w:rsidRPr="00EE30D6">
        <w:rPr>
          <w:sz w:val="24"/>
          <w:szCs w:val="24"/>
        </w:rPr>
        <w:t>However, d</w:t>
      </w:r>
      <w:r w:rsidRPr="00EE30D6">
        <w:rPr>
          <w:sz w:val="24"/>
          <w:szCs w:val="24"/>
        </w:rPr>
        <w:t>uring th</w:t>
      </w:r>
      <w:r w:rsidR="00962EAD" w:rsidRPr="00EE30D6">
        <w:rPr>
          <w:sz w:val="24"/>
          <w:szCs w:val="24"/>
        </w:rPr>
        <w:t>is</w:t>
      </w:r>
      <w:r w:rsidRPr="00EE30D6">
        <w:rPr>
          <w:sz w:val="24"/>
          <w:szCs w:val="24"/>
        </w:rPr>
        <w:t xml:space="preserve"> </w:t>
      </w:r>
      <w:r w:rsidR="008F5C86" w:rsidRPr="00EE30D6">
        <w:rPr>
          <w:sz w:val="24"/>
          <w:szCs w:val="24"/>
        </w:rPr>
        <w:t xml:space="preserve">same </w:t>
      </w:r>
      <w:r w:rsidRPr="00EE30D6">
        <w:rPr>
          <w:sz w:val="24"/>
          <w:szCs w:val="24"/>
        </w:rPr>
        <w:t>timeframe, Provider B also received Fully Favorable appeal decisions on</w:t>
      </w:r>
      <w:r w:rsidRPr="00EE30D6">
        <w:rPr>
          <w:spacing w:val="-18"/>
          <w:sz w:val="24"/>
          <w:szCs w:val="24"/>
        </w:rPr>
        <w:t xml:space="preserve"> </w:t>
      </w:r>
      <w:r w:rsidRPr="00EE30D6">
        <w:rPr>
          <w:sz w:val="24"/>
          <w:szCs w:val="24"/>
        </w:rPr>
        <w:t xml:space="preserve">48 previously-reviewed claims. </w:t>
      </w:r>
      <w:r w:rsidR="00E35E13" w:rsidRPr="00EE30D6">
        <w:rPr>
          <w:sz w:val="24"/>
          <w:szCs w:val="24"/>
        </w:rPr>
        <w:t xml:space="preserve"> </w:t>
      </w:r>
      <w:r w:rsidRPr="00EE30D6">
        <w:rPr>
          <w:sz w:val="24"/>
          <w:szCs w:val="24"/>
        </w:rPr>
        <w:t>Therefore, th</w:t>
      </w:r>
      <w:r w:rsidR="00E35E13" w:rsidRPr="00EE30D6">
        <w:rPr>
          <w:sz w:val="24"/>
          <w:szCs w:val="24"/>
        </w:rPr>
        <w:t xml:space="preserve">e Denial Rate would actually be </w:t>
      </w:r>
      <w:r w:rsidR="00962EAD" w:rsidRPr="00EE30D6">
        <w:rPr>
          <w:sz w:val="24"/>
          <w:szCs w:val="24"/>
        </w:rPr>
        <w:t>[</w:t>
      </w:r>
      <w:r w:rsidRPr="00EE30D6">
        <w:rPr>
          <w:sz w:val="24"/>
          <w:szCs w:val="24"/>
        </w:rPr>
        <w:t>1</w:t>
      </w:r>
      <w:r w:rsidR="00A254DE" w:rsidRPr="00EE30D6">
        <w:rPr>
          <w:sz w:val="24"/>
          <w:szCs w:val="24"/>
        </w:rPr>
        <w:t>2</w:t>
      </w:r>
      <w:r w:rsidR="00A818B0" w:rsidRPr="00EE30D6">
        <w:rPr>
          <w:sz w:val="24"/>
          <w:szCs w:val="24"/>
        </w:rPr>
        <w:t>4</w:t>
      </w:r>
      <w:r w:rsidRPr="00EE30D6">
        <w:rPr>
          <w:sz w:val="24"/>
          <w:szCs w:val="24"/>
        </w:rPr>
        <w:t xml:space="preserve"> </w:t>
      </w:r>
      <w:r w:rsidR="00962EAD" w:rsidRPr="00EE30D6">
        <w:rPr>
          <w:sz w:val="24"/>
          <w:szCs w:val="24"/>
        </w:rPr>
        <w:t>(</w:t>
      </w:r>
      <w:r w:rsidR="00A254DE" w:rsidRPr="00EE30D6">
        <w:rPr>
          <w:sz w:val="24"/>
          <w:szCs w:val="24"/>
        </w:rPr>
        <w:t>overpay</w:t>
      </w:r>
      <w:r w:rsidR="00962EAD" w:rsidRPr="00EE30D6">
        <w:rPr>
          <w:sz w:val="24"/>
          <w:szCs w:val="24"/>
        </w:rPr>
        <w:t>ments</w:t>
      </w:r>
      <w:r w:rsidRPr="00EE30D6">
        <w:rPr>
          <w:sz w:val="24"/>
          <w:szCs w:val="24"/>
        </w:rPr>
        <w:t xml:space="preserve">) </w:t>
      </w:r>
      <w:r w:rsidR="00962EAD" w:rsidRPr="00EE30D6">
        <w:rPr>
          <w:sz w:val="24"/>
          <w:szCs w:val="24"/>
        </w:rPr>
        <w:t xml:space="preserve">– 48 (fully overturned appeals)] </w:t>
      </w:r>
      <w:r w:rsidRPr="00EE30D6">
        <w:rPr>
          <w:sz w:val="24"/>
          <w:szCs w:val="24"/>
        </w:rPr>
        <w:t>÷ 4</w:t>
      </w:r>
      <w:r w:rsidR="00962EAD" w:rsidRPr="00EE30D6">
        <w:rPr>
          <w:sz w:val="24"/>
          <w:szCs w:val="24"/>
        </w:rPr>
        <w:t>7</w:t>
      </w:r>
      <w:r w:rsidRPr="00EE30D6">
        <w:rPr>
          <w:sz w:val="24"/>
          <w:szCs w:val="24"/>
        </w:rPr>
        <w:t xml:space="preserve">7, </w:t>
      </w:r>
      <w:r w:rsidR="00962EAD" w:rsidRPr="00EE30D6">
        <w:rPr>
          <w:sz w:val="24"/>
          <w:szCs w:val="24"/>
        </w:rPr>
        <w:t xml:space="preserve">or </w:t>
      </w:r>
      <w:r w:rsidR="008F5C86" w:rsidRPr="00EE30D6">
        <w:rPr>
          <w:sz w:val="24"/>
          <w:szCs w:val="24"/>
        </w:rPr>
        <w:t xml:space="preserve">76 ÷ 477, </w:t>
      </w:r>
      <w:r w:rsidRPr="00EE30D6">
        <w:rPr>
          <w:sz w:val="24"/>
          <w:szCs w:val="24"/>
        </w:rPr>
        <w:t xml:space="preserve">which is </w:t>
      </w:r>
      <w:r w:rsidR="008F5C86" w:rsidRPr="00EE30D6">
        <w:rPr>
          <w:sz w:val="24"/>
          <w:szCs w:val="24"/>
        </w:rPr>
        <w:t>15.9</w:t>
      </w:r>
      <w:r w:rsidRPr="00EE30D6">
        <w:rPr>
          <w:sz w:val="24"/>
          <w:szCs w:val="24"/>
        </w:rPr>
        <w:t>%</w:t>
      </w:r>
      <w:r w:rsidR="00A818B0" w:rsidRPr="00EE30D6">
        <w:rPr>
          <w:sz w:val="24"/>
          <w:szCs w:val="24"/>
        </w:rPr>
        <w:t xml:space="preserve"> (rounded to 1</w:t>
      </w:r>
      <w:r w:rsidR="008F5C86" w:rsidRPr="00EE30D6">
        <w:rPr>
          <w:sz w:val="24"/>
          <w:szCs w:val="24"/>
        </w:rPr>
        <w:t>6</w:t>
      </w:r>
      <w:r w:rsidR="00A818B0" w:rsidRPr="00EE30D6">
        <w:rPr>
          <w:sz w:val="24"/>
          <w:szCs w:val="24"/>
        </w:rPr>
        <w:t>%)</w:t>
      </w:r>
      <w:r w:rsidRPr="00EE30D6">
        <w:rPr>
          <w:sz w:val="24"/>
          <w:szCs w:val="24"/>
        </w:rPr>
        <w:t xml:space="preserve">. Using Table 1 above, the Adjusted ADR limit would be 0.5%, which is the same as the baseline annual ADR limit. </w:t>
      </w:r>
      <w:r w:rsidR="00A12FAE">
        <w:rPr>
          <w:sz w:val="24"/>
          <w:szCs w:val="24"/>
        </w:rPr>
        <w:t xml:space="preserve"> </w:t>
      </w:r>
      <w:r w:rsidRPr="00EE30D6">
        <w:rPr>
          <w:sz w:val="24"/>
          <w:szCs w:val="24"/>
        </w:rPr>
        <w:t>Th</w:t>
      </w:r>
      <w:r w:rsidR="00EF0878">
        <w:rPr>
          <w:sz w:val="24"/>
          <w:szCs w:val="24"/>
        </w:rPr>
        <w:t xml:space="preserve">erefore, the 45-day cycle limit </w:t>
      </w:r>
      <w:r w:rsidRPr="00EE30D6">
        <w:rPr>
          <w:sz w:val="24"/>
          <w:szCs w:val="24"/>
        </w:rPr>
        <w:t xml:space="preserve">would </w:t>
      </w:r>
      <w:r w:rsidR="00EF0878">
        <w:rPr>
          <w:sz w:val="24"/>
          <w:szCs w:val="24"/>
        </w:rPr>
        <w:t xml:space="preserve">not change, and would </w:t>
      </w:r>
      <w:r w:rsidRPr="00EE30D6">
        <w:rPr>
          <w:sz w:val="24"/>
          <w:szCs w:val="24"/>
        </w:rPr>
        <w:t>then apply to the next three (3) review cycles, after which the Denial Rate</w:t>
      </w:r>
      <w:r w:rsidR="007D4F1F" w:rsidRPr="00EE30D6">
        <w:rPr>
          <w:sz w:val="24"/>
          <w:szCs w:val="24"/>
        </w:rPr>
        <w:t xml:space="preserve"> (and Adjusted ADR Limit)</w:t>
      </w:r>
      <w:r w:rsidRPr="00EE30D6">
        <w:rPr>
          <w:sz w:val="24"/>
          <w:szCs w:val="24"/>
        </w:rPr>
        <w:t xml:space="preserve"> would be</w:t>
      </w:r>
      <w:r w:rsidRPr="00EE30D6">
        <w:rPr>
          <w:spacing w:val="-16"/>
          <w:sz w:val="24"/>
          <w:szCs w:val="24"/>
        </w:rPr>
        <w:t xml:space="preserve"> </w:t>
      </w:r>
      <w:r w:rsidRPr="00EE30D6">
        <w:rPr>
          <w:sz w:val="24"/>
          <w:szCs w:val="24"/>
        </w:rPr>
        <w:t>recalculated.</w:t>
      </w:r>
    </w:p>
    <w:p w14:paraId="329CD67F" w14:textId="77777777" w:rsidR="0060554F" w:rsidRPr="00EE30D6" w:rsidRDefault="0060554F">
      <w:pPr>
        <w:pStyle w:val="BodyText"/>
        <w:spacing w:before="5"/>
      </w:pPr>
    </w:p>
    <w:p w14:paraId="45DD8F44" w14:textId="091014A3" w:rsidR="0060554F" w:rsidRPr="00EE30D6" w:rsidRDefault="00115898">
      <w:pPr>
        <w:pStyle w:val="ListParagraph"/>
        <w:numPr>
          <w:ilvl w:val="1"/>
          <w:numId w:val="1"/>
        </w:numPr>
        <w:tabs>
          <w:tab w:val="left" w:pos="1420"/>
        </w:tabs>
        <w:spacing w:line="237" w:lineRule="auto"/>
        <w:ind w:left="1559" w:right="641"/>
        <w:rPr>
          <w:sz w:val="24"/>
          <w:szCs w:val="24"/>
        </w:rPr>
      </w:pPr>
      <w:r w:rsidRPr="00EE30D6">
        <w:rPr>
          <w:sz w:val="24"/>
          <w:szCs w:val="24"/>
        </w:rPr>
        <w:t xml:space="preserve">After three (3) 45-day review cycles, </w:t>
      </w:r>
      <w:r w:rsidRPr="00EE30D6">
        <w:rPr>
          <w:b/>
          <w:sz w:val="24"/>
          <w:szCs w:val="24"/>
        </w:rPr>
        <w:t xml:space="preserve">Provider C </w:t>
      </w:r>
      <w:r w:rsidRPr="00EE30D6">
        <w:rPr>
          <w:sz w:val="24"/>
          <w:szCs w:val="24"/>
        </w:rPr>
        <w:t>had 0 (zero) claims containing improper payments, out of a total of 24 reviewed claims.</w:t>
      </w:r>
      <w:r w:rsidR="00A12FAE">
        <w:rPr>
          <w:sz w:val="24"/>
          <w:szCs w:val="24"/>
        </w:rPr>
        <w:t xml:space="preserve"> </w:t>
      </w:r>
      <w:r w:rsidRPr="00EE30D6">
        <w:rPr>
          <w:sz w:val="24"/>
          <w:szCs w:val="24"/>
        </w:rPr>
        <w:t xml:space="preserve"> The Denial Rate would be 0 ÷ 24, which is 0%. </w:t>
      </w:r>
      <w:r w:rsidR="00A12FAE">
        <w:rPr>
          <w:sz w:val="24"/>
          <w:szCs w:val="24"/>
        </w:rPr>
        <w:t xml:space="preserve"> </w:t>
      </w:r>
      <w:r w:rsidRPr="00EE30D6">
        <w:rPr>
          <w:sz w:val="24"/>
          <w:szCs w:val="24"/>
        </w:rPr>
        <w:t xml:space="preserve">Using Table 1 above, the Adjusted ADR limit would be “No reviews for three (3) 45-day review cycles”, which would be a total of 135 days. </w:t>
      </w:r>
      <w:r w:rsidR="00A12FAE">
        <w:rPr>
          <w:sz w:val="24"/>
          <w:szCs w:val="24"/>
        </w:rPr>
        <w:t xml:space="preserve"> </w:t>
      </w:r>
      <w:r w:rsidRPr="00EE30D6">
        <w:rPr>
          <w:sz w:val="24"/>
          <w:szCs w:val="24"/>
        </w:rPr>
        <w:t xml:space="preserve">After this time frame, reviews would begin again, using the </w:t>
      </w:r>
      <w:r w:rsidR="00EF0878">
        <w:rPr>
          <w:sz w:val="24"/>
          <w:szCs w:val="24"/>
        </w:rPr>
        <w:t xml:space="preserve">45-day cycle limit, based on the </w:t>
      </w:r>
      <w:r w:rsidRPr="00EE30D6">
        <w:rPr>
          <w:sz w:val="24"/>
          <w:szCs w:val="24"/>
        </w:rPr>
        <w:t>baseline (0.5%)</w:t>
      </w:r>
      <w:r w:rsidR="00A12FAE">
        <w:rPr>
          <w:sz w:val="24"/>
          <w:szCs w:val="24"/>
        </w:rPr>
        <w:t xml:space="preserve"> </w:t>
      </w:r>
      <w:r w:rsidR="00EF0878">
        <w:rPr>
          <w:sz w:val="24"/>
          <w:szCs w:val="24"/>
        </w:rPr>
        <w:t xml:space="preserve">annual </w:t>
      </w:r>
      <w:r w:rsidRPr="00EE30D6">
        <w:rPr>
          <w:sz w:val="24"/>
          <w:szCs w:val="24"/>
        </w:rPr>
        <w:t>ADR</w:t>
      </w:r>
      <w:r w:rsidRPr="00EE30D6">
        <w:rPr>
          <w:spacing w:val="-12"/>
          <w:sz w:val="24"/>
          <w:szCs w:val="24"/>
        </w:rPr>
        <w:t xml:space="preserve"> </w:t>
      </w:r>
      <w:r w:rsidRPr="00EE30D6">
        <w:rPr>
          <w:sz w:val="24"/>
          <w:szCs w:val="24"/>
        </w:rPr>
        <w:t>limit.</w:t>
      </w:r>
    </w:p>
    <w:p w14:paraId="5FCE0855" w14:textId="6030A7E7" w:rsidR="00797F10" w:rsidRDefault="00797F10" w:rsidP="00797F10">
      <w:pPr>
        <w:pStyle w:val="BodyText"/>
        <w:spacing w:before="4"/>
        <w:rPr>
          <w:rFonts w:ascii="Calibri"/>
        </w:rPr>
      </w:pPr>
      <w:bookmarkStart w:id="3" w:name="_bookmark0"/>
      <w:bookmarkStart w:id="4" w:name="Look-back_Period"/>
      <w:bookmarkEnd w:id="3"/>
      <w:bookmarkEnd w:id="4"/>
    </w:p>
    <w:p w14:paraId="45A62681" w14:textId="77777777" w:rsidR="00F86297" w:rsidRPr="00EE30D6" w:rsidRDefault="00F86297" w:rsidP="00797F10">
      <w:pPr>
        <w:pStyle w:val="BodyText"/>
        <w:spacing w:before="4"/>
        <w:rPr>
          <w:rFonts w:ascii="Calibri"/>
        </w:rPr>
      </w:pPr>
    </w:p>
    <w:p w14:paraId="0C10CE45" w14:textId="339DCF1E" w:rsidR="0060554F" w:rsidRPr="00A12FAE" w:rsidRDefault="00115898" w:rsidP="00A12FAE">
      <w:pPr>
        <w:pStyle w:val="Heading1"/>
        <w:spacing w:before="0" w:after="120"/>
        <w:ind w:left="115"/>
      </w:pPr>
      <w:r w:rsidRPr="00EE30D6">
        <w:t>Look-back Period</w:t>
      </w:r>
    </w:p>
    <w:p w14:paraId="7BC5E496" w14:textId="08DF0B47" w:rsidR="0060554F" w:rsidRDefault="00E05AF7" w:rsidP="00EF0878">
      <w:pPr>
        <w:pStyle w:val="ListParagraph"/>
        <w:numPr>
          <w:ilvl w:val="0"/>
          <w:numId w:val="1"/>
        </w:numPr>
        <w:tabs>
          <w:tab w:val="left" w:pos="480"/>
        </w:tabs>
        <w:spacing w:line="274" w:lineRule="exact"/>
        <w:ind w:right="696"/>
        <w:rPr>
          <w:sz w:val="24"/>
          <w:szCs w:val="24"/>
        </w:rPr>
      </w:pPr>
      <w:r w:rsidRPr="00EE30D6">
        <w:rPr>
          <w:sz w:val="24"/>
          <w:szCs w:val="24"/>
        </w:rPr>
        <w:t>Per the</w:t>
      </w:r>
      <w:r w:rsidR="00A12FAE">
        <w:rPr>
          <w:sz w:val="24"/>
          <w:szCs w:val="24"/>
        </w:rPr>
        <w:t>i</w:t>
      </w:r>
      <w:r w:rsidRPr="00EE30D6">
        <w:rPr>
          <w:sz w:val="24"/>
          <w:szCs w:val="24"/>
        </w:rPr>
        <w:t xml:space="preserve">r Statement of Work (SOW), </w:t>
      </w:r>
      <w:r w:rsidR="00115898" w:rsidRPr="00EE30D6">
        <w:rPr>
          <w:sz w:val="24"/>
          <w:szCs w:val="24"/>
        </w:rPr>
        <w:t>Recovery Audit</w:t>
      </w:r>
      <w:r w:rsidRPr="00EE30D6">
        <w:rPr>
          <w:sz w:val="24"/>
          <w:szCs w:val="24"/>
        </w:rPr>
        <w:t xml:space="preserve"> Contract</w:t>
      </w:r>
      <w:r w:rsidR="00115898" w:rsidRPr="00EE30D6">
        <w:rPr>
          <w:sz w:val="24"/>
          <w:szCs w:val="24"/>
        </w:rPr>
        <w:t xml:space="preserve">ors </w:t>
      </w:r>
      <w:r w:rsidRPr="00EE30D6">
        <w:rPr>
          <w:sz w:val="24"/>
          <w:szCs w:val="24"/>
        </w:rPr>
        <w:t xml:space="preserve">will have </w:t>
      </w:r>
      <w:r w:rsidR="00EF0878">
        <w:rPr>
          <w:sz w:val="24"/>
          <w:szCs w:val="24"/>
        </w:rPr>
        <w:t xml:space="preserve">a maximum </w:t>
      </w:r>
      <w:r w:rsidR="00115898" w:rsidRPr="00EE30D6">
        <w:rPr>
          <w:sz w:val="24"/>
          <w:szCs w:val="24"/>
        </w:rPr>
        <w:t>look-back period</w:t>
      </w:r>
      <w:r w:rsidR="00EF0878">
        <w:rPr>
          <w:sz w:val="24"/>
          <w:szCs w:val="24"/>
        </w:rPr>
        <w:t xml:space="preserve"> of 3 years</w:t>
      </w:r>
      <w:r w:rsidR="00115898" w:rsidRPr="00EE30D6">
        <w:rPr>
          <w:sz w:val="24"/>
          <w:szCs w:val="24"/>
        </w:rPr>
        <w:t>, based on the claim paid</w:t>
      </w:r>
      <w:r w:rsidR="00115898" w:rsidRPr="00EE30D6">
        <w:rPr>
          <w:spacing w:val="-12"/>
          <w:sz w:val="24"/>
          <w:szCs w:val="24"/>
        </w:rPr>
        <w:t xml:space="preserve"> </w:t>
      </w:r>
      <w:r w:rsidR="00115898" w:rsidRPr="00EE30D6">
        <w:rPr>
          <w:sz w:val="24"/>
          <w:szCs w:val="24"/>
        </w:rPr>
        <w:t>date</w:t>
      </w:r>
      <w:r w:rsidRPr="00EE30D6">
        <w:rPr>
          <w:sz w:val="24"/>
          <w:szCs w:val="24"/>
        </w:rPr>
        <w:t>, unless otherwise directed by CMS</w:t>
      </w:r>
      <w:r w:rsidR="00115898" w:rsidRPr="00EE30D6">
        <w:rPr>
          <w:sz w:val="24"/>
          <w:szCs w:val="24"/>
        </w:rPr>
        <w:t>.</w:t>
      </w:r>
      <w:r w:rsidR="00EF0878">
        <w:rPr>
          <w:sz w:val="24"/>
          <w:szCs w:val="24"/>
        </w:rPr>
        <w:t xml:space="preserve">  However, </w:t>
      </w:r>
      <w:r w:rsidR="00EF0878" w:rsidRPr="00EF0878">
        <w:rPr>
          <w:sz w:val="24"/>
          <w:szCs w:val="24"/>
        </w:rPr>
        <w:t xml:space="preserve">CMS </w:t>
      </w:r>
      <w:r w:rsidR="00EF0878">
        <w:rPr>
          <w:sz w:val="24"/>
          <w:szCs w:val="24"/>
        </w:rPr>
        <w:t xml:space="preserve">has </w:t>
      </w:r>
      <w:r w:rsidR="00EF0878" w:rsidRPr="00EF0878">
        <w:rPr>
          <w:sz w:val="24"/>
          <w:szCs w:val="24"/>
        </w:rPr>
        <w:t>limited the Recovery Auditor look-back period to 6 months from the date of service for patient status reviews, in cases where the hospital submits the claim within 3 months of the date of service.</w:t>
      </w:r>
    </w:p>
    <w:p w14:paraId="63A50203" w14:textId="77777777" w:rsidR="00EF0878" w:rsidRPr="00EF0878" w:rsidRDefault="00EF0878" w:rsidP="00EF0878">
      <w:pPr>
        <w:tabs>
          <w:tab w:val="left" w:pos="480"/>
        </w:tabs>
        <w:spacing w:line="274" w:lineRule="exact"/>
        <w:ind w:right="696"/>
        <w:rPr>
          <w:sz w:val="24"/>
          <w:szCs w:val="24"/>
        </w:rPr>
      </w:pPr>
    </w:p>
    <w:p w14:paraId="71DF3F2E" w14:textId="77777777" w:rsidR="0060554F" w:rsidRPr="00EE30D6" w:rsidRDefault="0060554F">
      <w:pPr>
        <w:pStyle w:val="BodyText"/>
        <w:spacing w:before="10"/>
      </w:pPr>
    </w:p>
    <w:p w14:paraId="61C57086" w14:textId="4E61791A" w:rsidR="0060554F" w:rsidRPr="00A12FAE" w:rsidRDefault="00115898" w:rsidP="00A12FAE">
      <w:pPr>
        <w:pStyle w:val="Heading1"/>
        <w:spacing w:before="0" w:after="120"/>
        <w:ind w:left="115"/>
      </w:pPr>
      <w:r w:rsidRPr="00EE30D6">
        <w:t>Use of Extrapolation</w:t>
      </w:r>
    </w:p>
    <w:p w14:paraId="6E7ABE5C" w14:textId="77777777" w:rsidR="0060554F" w:rsidRPr="00EE30D6" w:rsidRDefault="00115898">
      <w:pPr>
        <w:pStyle w:val="ListParagraph"/>
        <w:numPr>
          <w:ilvl w:val="0"/>
          <w:numId w:val="1"/>
        </w:numPr>
        <w:tabs>
          <w:tab w:val="left" w:pos="480"/>
        </w:tabs>
        <w:spacing w:line="278" w:lineRule="auto"/>
        <w:ind w:right="1243" w:hanging="363"/>
        <w:rPr>
          <w:sz w:val="24"/>
          <w:szCs w:val="24"/>
        </w:rPr>
      </w:pPr>
      <w:r w:rsidRPr="00EE30D6">
        <w:rPr>
          <w:sz w:val="24"/>
          <w:szCs w:val="24"/>
        </w:rPr>
        <w:t>CMS will consider allowing Recovery Audit</w:t>
      </w:r>
      <w:r w:rsidR="00E05AF7" w:rsidRPr="00EE30D6">
        <w:rPr>
          <w:sz w:val="24"/>
          <w:szCs w:val="24"/>
        </w:rPr>
        <w:t xml:space="preserve"> Contract</w:t>
      </w:r>
      <w:r w:rsidRPr="00EE30D6">
        <w:rPr>
          <w:sz w:val="24"/>
          <w:szCs w:val="24"/>
        </w:rPr>
        <w:t>ors to use extrapolation to estimate overpayment amounts</w:t>
      </w:r>
      <w:r w:rsidRPr="00EE30D6">
        <w:rPr>
          <w:spacing w:val="-7"/>
          <w:sz w:val="24"/>
          <w:szCs w:val="24"/>
        </w:rPr>
        <w:t xml:space="preserve"> </w:t>
      </w:r>
      <w:r w:rsidRPr="00EE30D6">
        <w:rPr>
          <w:sz w:val="24"/>
          <w:szCs w:val="24"/>
        </w:rPr>
        <w:t>for:</w:t>
      </w:r>
    </w:p>
    <w:p w14:paraId="75E5CF06" w14:textId="77777777" w:rsidR="0060554F" w:rsidRPr="00EE30D6" w:rsidRDefault="00115898">
      <w:pPr>
        <w:pStyle w:val="ListParagraph"/>
        <w:numPr>
          <w:ilvl w:val="1"/>
          <w:numId w:val="1"/>
        </w:numPr>
        <w:tabs>
          <w:tab w:val="left" w:pos="1415"/>
          <w:tab w:val="left" w:pos="1416"/>
        </w:tabs>
        <w:ind w:left="1415"/>
        <w:rPr>
          <w:sz w:val="24"/>
          <w:szCs w:val="24"/>
        </w:rPr>
      </w:pPr>
      <w:r w:rsidRPr="00EE30D6">
        <w:rPr>
          <w:sz w:val="24"/>
          <w:szCs w:val="24"/>
        </w:rPr>
        <w:t>Providers who maintain a high denial rate for an extended time</w:t>
      </w:r>
      <w:r w:rsidRPr="00EE30D6">
        <w:rPr>
          <w:spacing w:val="-15"/>
          <w:sz w:val="24"/>
          <w:szCs w:val="24"/>
        </w:rPr>
        <w:t xml:space="preserve"> </w:t>
      </w:r>
      <w:r w:rsidRPr="00EE30D6">
        <w:rPr>
          <w:sz w:val="24"/>
          <w:szCs w:val="24"/>
        </w:rPr>
        <w:t>period</w:t>
      </w:r>
    </w:p>
    <w:p w14:paraId="0C43FFE9" w14:textId="77777777" w:rsidR="0060554F" w:rsidRPr="00EE30D6" w:rsidRDefault="00115898">
      <w:pPr>
        <w:pStyle w:val="ListParagraph"/>
        <w:numPr>
          <w:ilvl w:val="1"/>
          <w:numId w:val="1"/>
        </w:numPr>
        <w:tabs>
          <w:tab w:val="left" w:pos="1415"/>
          <w:tab w:val="left" w:pos="1416"/>
        </w:tabs>
        <w:spacing w:before="45"/>
        <w:ind w:left="1415"/>
        <w:rPr>
          <w:sz w:val="24"/>
          <w:szCs w:val="24"/>
        </w:rPr>
      </w:pPr>
      <w:r w:rsidRPr="00EE30D6">
        <w:rPr>
          <w:sz w:val="24"/>
          <w:szCs w:val="24"/>
        </w:rPr>
        <w:t>Providers who have excessively high denial rates for a shorter time</w:t>
      </w:r>
      <w:r w:rsidRPr="00EE30D6">
        <w:rPr>
          <w:spacing w:val="-17"/>
          <w:sz w:val="24"/>
          <w:szCs w:val="24"/>
        </w:rPr>
        <w:t xml:space="preserve"> </w:t>
      </w:r>
      <w:r w:rsidRPr="00EE30D6">
        <w:rPr>
          <w:sz w:val="24"/>
          <w:szCs w:val="24"/>
        </w:rPr>
        <w:t>period</w:t>
      </w:r>
    </w:p>
    <w:p w14:paraId="2DC86E1A" w14:textId="64A0C5FC" w:rsidR="00A12FAE" w:rsidRDefault="00115898" w:rsidP="00A12FAE">
      <w:pPr>
        <w:pStyle w:val="ListParagraph"/>
        <w:numPr>
          <w:ilvl w:val="1"/>
          <w:numId w:val="1"/>
        </w:numPr>
        <w:tabs>
          <w:tab w:val="left" w:pos="1415"/>
          <w:tab w:val="left" w:pos="1416"/>
        </w:tabs>
        <w:spacing w:before="42" w:line="273" w:lineRule="auto"/>
        <w:ind w:left="1415" w:right="973"/>
        <w:rPr>
          <w:sz w:val="24"/>
          <w:szCs w:val="24"/>
        </w:rPr>
      </w:pPr>
      <w:r w:rsidRPr="00EE30D6">
        <w:rPr>
          <w:sz w:val="24"/>
          <w:szCs w:val="24"/>
        </w:rPr>
        <w:t xml:space="preserve">Providers with a moderate denial rate, whose </w:t>
      </w:r>
      <w:r w:rsidR="00543443">
        <w:rPr>
          <w:sz w:val="24"/>
          <w:szCs w:val="24"/>
        </w:rPr>
        <w:t>over</w:t>
      </w:r>
      <w:r w:rsidRPr="00EE30D6">
        <w:rPr>
          <w:sz w:val="24"/>
          <w:szCs w:val="24"/>
        </w:rPr>
        <w:t>payments equal</w:t>
      </w:r>
      <w:r w:rsidRPr="00EE30D6">
        <w:rPr>
          <w:spacing w:val="-17"/>
          <w:sz w:val="24"/>
          <w:szCs w:val="24"/>
        </w:rPr>
        <w:t xml:space="preserve"> </w:t>
      </w:r>
      <w:r w:rsidRPr="00EE30D6">
        <w:rPr>
          <w:sz w:val="24"/>
          <w:szCs w:val="24"/>
        </w:rPr>
        <w:t>a significantly high dollar</w:t>
      </w:r>
      <w:r w:rsidRPr="00EE30D6">
        <w:rPr>
          <w:spacing w:val="-11"/>
          <w:sz w:val="24"/>
          <w:szCs w:val="24"/>
        </w:rPr>
        <w:t xml:space="preserve"> </w:t>
      </w:r>
      <w:r w:rsidRPr="00EE30D6">
        <w:rPr>
          <w:sz w:val="24"/>
          <w:szCs w:val="24"/>
        </w:rPr>
        <w:t>amount</w:t>
      </w:r>
    </w:p>
    <w:p w14:paraId="6F6DBFBA" w14:textId="77777777" w:rsidR="00F86297" w:rsidRDefault="00F86297" w:rsidP="00A12FAE">
      <w:pPr>
        <w:tabs>
          <w:tab w:val="left" w:pos="1415"/>
          <w:tab w:val="left" w:pos="1416"/>
        </w:tabs>
        <w:spacing w:before="42" w:line="273" w:lineRule="auto"/>
        <w:ind w:right="973"/>
      </w:pPr>
    </w:p>
    <w:p w14:paraId="37729999" w14:textId="29B6A523" w:rsidR="00A12FAE" w:rsidRPr="00A12FAE" w:rsidRDefault="00A12FAE" w:rsidP="00A12FAE">
      <w:pPr>
        <w:tabs>
          <w:tab w:val="left" w:pos="1415"/>
          <w:tab w:val="left" w:pos="1416"/>
        </w:tabs>
        <w:spacing w:after="120"/>
        <w:ind w:right="979"/>
        <w:rPr>
          <w:b/>
        </w:rPr>
      </w:pPr>
      <w:r w:rsidRPr="00A12FAE">
        <w:rPr>
          <w:b/>
        </w:rPr>
        <w:t>Exceeding ADR Limits</w:t>
      </w:r>
    </w:p>
    <w:p w14:paraId="58082F77" w14:textId="48A24EE3" w:rsidR="0060554F" w:rsidRDefault="00A12FAE" w:rsidP="00A12FAE">
      <w:pPr>
        <w:pStyle w:val="ListParagraph"/>
        <w:numPr>
          <w:ilvl w:val="0"/>
          <w:numId w:val="1"/>
        </w:numPr>
        <w:tabs>
          <w:tab w:val="left" w:pos="480"/>
        </w:tabs>
        <w:spacing w:line="278" w:lineRule="auto"/>
        <w:ind w:right="484"/>
        <w:rPr>
          <w:sz w:val="24"/>
          <w:szCs w:val="24"/>
        </w:rPr>
      </w:pPr>
      <w:r w:rsidRPr="00A12FAE">
        <w:rPr>
          <w:sz w:val="24"/>
          <w:szCs w:val="24"/>
        </w:rPr>
        <w:t xml:space="preserve">CMS often receives referrals of potential improper payments from the MACs, UPICs, and Federal investigative agencies (e.g., OIG, DOJ). </w:t>
      </w:r>
      <w:r>
        <w:rPr>
          <w:sz w:val="24"/>
          <w:szCs w:val="24"/>
        </w:rPr>
        <w:t xml:space="preserve"> </w:t>
      </w:r>
      <w:r w:rsidRPr="00A12FAE">
        <w:rPr>
          <w:sz w:val="24"/>
          <w:szCs w:val="24"/>
        </w:rPr>
        <w:t xml:space="preserve">At CMS discretion, CMS may require the RAC to review claims, based on these referrals. </w:t>
      </w:r>
      <w:r>
        <w:rPr>
          <w:sz w:val="24"/>
          <w:szCs w:val="24"/>
        </w:rPr>
        <w:t xml:space="preserve"> </w:t>
      </w:r>
      <w:r w:rsidRPr="00A12FAE">
        <w:rPr>
          <w:sz w:val="24"/>
          <w:szCs w:val="24"/>
        </w:rPr>
        <w:t>These CMS-Required RAC reviews are conducted outside of the established ADR limits.”</w:t>
      </w:r>
    </w:p>
    <w:p w14:paraId="15B9434B" w14:textId="77777777" w:rsidR="00A12FAE" w:rsidRPr="00A12FAE" w:rsidRDefault="00A12FAE" w:rsidP="00A12FAE">
      <w:pPr>
        <w:tabs>
          <w:tab w:val="left" w:pos="480"/>
        </w:tabs>
        <w:spacing w:line="278" w:lineRule="auto"/>
        <w:ind w:left="119" w:right="484"/>
        <w:rPr>
          <w:sz w:val="24"/>
          <w:szCs w:val="24"/>
        </w:rPr>
      </w:pPr>
    </w:p>
    <w:p w14:paraId="57CEFBE0" w14:textId="5B418D33" w:rsidR="0060554F" w:rsidRPr="00EE30D6" w:rsidRDefault="00115898" w:rsidP="00A12FAE">
      <w:pPr>
        <w:pStyle w:val="BodyText"/>
        <w:spacing w:before="194"/>
        <w:ind w:left="239"/>
      </w:pPr>
      <w:r w:rsidRPr="00EE30D6">
        <w:t xml:space="preserve">Questions concerning this update can be directed to </w:t>
      </w:r>
      <w:hyperlink r:id="rId8">
        <w:r w:rsidRPr="00EE30D6">
          <w:t>RAC@cms.hhs.gov.</w:t>
        </w:r>
      </w:hyperlink>
      <w:bookmarkStart w:id="5" w:name="_bookmark1"/>
      <w:bookmarkEnd w:id="5"/>
    </w:p>
    <w:sectPr w:rsidR="0060554F" w:rsidRPr="00EE30D6" w:rsidSect="00EF0878">
      <w:headerReference w:type="default" r:id="rId9"/>
      <w:pgSz w:w="12240" w:h="15840"/>
      <w:pgMar w:top="1080" w:right="1350" w:bottom="450" w:left="10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C3F5" w14:textId="77777777" w:rsidR="002B784A" w:rsidRDefault="002B784A">
      <w:r>
        <w:separator/>
      </w:r>
    </w:p>
  </w:endnote>
  <w:endnote w:type="continuationSeparator" w:id="0">
    <w:p w14:paraId="2462451A" w14:textId="77777777" w:rsidR="002B784A" w:rsidRDefault="002B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BD40E" w14:textId="77777777" w:rsidR="002B784A" w:rsidRDefault="002B784A">
      <w:r>
        <w:separator/>
      </w:r>
    </w:p>
  </w:footnote>
  <w:footnote w:type="continuationSeparator" w:id="0">
    <w:p w14:paraId="7C219D14" w14:textId="77777777" w:rsidR="002B784A" w:rsidRDefault="002B784A">
      <w:r>
        <w:continuationSeparator/>
      </w:r>
    </w:p>
  </w:footnote>
  <w:footnote w:id="1">
    <w:p w14:paraId="73467FAD" w14:textId="798DA327" w:rsidR="007C4C0F" w:rsidRDefault="007C4C0F">
      <w:pPr>
        <w:pStyle w:val="FootnoteText"/>
      </w:pPr>
      <w:r>
        <w:rPr>
          <w:rStyle w:val="FootnoteReference"/>
        </w:rPr>
        <w:footnoteRef/>
      </w:r>
      <w:r>
        <w:t xml:space="preserve"> </w:t>
      </w:r>
      <w:r>
        <w:rPr>
          <w:rFonts w:ascii="Calibri"/>
        </w:rPr>
        <w:t xml:space="preserve">Rounding is done as follows: numbers ending in less than .5 (i.e. 20.49) will be rounded </w:t>
      </w:r>
      <w:r>
        <w:rPr>
          <w:rFonts w:ascii="Calibri"/>
          <w:u w:val="single"/>
        </w:rPr>
        <w:t xml:space="preserve">down </w:t>
      </w:r>
      <w:r>
        <w:rPr>
          <w:rFonts w:ascii="Calibri"/>
        </w:rPr>
        <w:t xml:space="preserve">to the nearest whole number (20, in this case); numbers ending in .5 or higher (i.e. 20.51) will be round </w:t>
      </w:r>
      <w:r>
        <w:rPr>
          <w:rFonts w:ascii="Calibri"/>
          <w:u w:val="single"/>
        </w:rPr>
        <w:t xml:space="preserve">up </w:t>
      </w:r>
      <w:r>
        <w:rPr>
          <w:rFonts w:ascii="Calibri"/>
        </w:rPr>
        <w:t>to the nearest whole number (21, in this case).</w:t>
      </w:r>
    </w:p>
  </w:footnote>
  <w:footnote w:id="2">
    <w:p w14:paraId="3C9B0EF9" w14:textId="06ECAE6E" w:rsidR="00BE4B2A" w:rsidRDefault="00BE4B2A">
      <w:pPr>
        <w:pStyle w:val="FootnoteText"/>
      </w:pPr>
      <w:r>
        <w:rPr>
          <w:rStyle w:val="FootnoteReference"/>
        </w:rPr>
        <w:footnoteRef/>
      </w:r>
      <w:r>
        <w:t xml:space="preserve"> </w:t>
      </w:r>
      <w:r w:rsidRPr="00BE4B2A">
        <w:t>Reversals of initial RAC findings resulting from a Discussion Period or a Clerical Re-opening are not considered “overturns”.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4EAC" w14:textId="77777777" w:rsidR="0060554F" w:rsidRDefault="00797F1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EB55943" wp14:editId="3E2E5CC5">
              <wp:simplePos x="0" y="0"/>
              <wp:positionH relativeFrom="page">
                <wp:posOffset>799465</wp:posOffset>
              </wp:positionH>
              <wp:positionV relativeFrom="page">
                <wp:posOffset>445770</wp:posOffset>
              </wp:positionV>
              <wp:extent cx="1618615" cy="16573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ABC01" w14:textId="77777777" w:rsidR="0060554F" w:rsidRDefault="000B4A51">
                          <w:pPr>
                            <w:spacing w:before="10"/>
                            <w:ind w:left="20"/>
                            <w:rPr>
                              <w:sz w:val="20"/>
                            </w:rPr>
                          </w:pPr>
                          <w:r>
                            <w:rPr>
                              <w:sz w:val="20"/>
                            </w:rPr>
                            <w:t xml:space="preserve">Last Updated </w:t>
                          </w:r>
                          <w:r w:rsidR="00CE0587">
                            <w:rPr>
                              <w:sz w:val="20"/>
                            </w:rPr>
                            <w:t>5</w:t>
                          </w:r>
                          <w:r>
                            <w:rPr>
                              <w:sz w:val="20"/>
                            </w:rPr>
                            <w:t>/</w:t>
                          </w:r>
                          <w:r w:rsidR="00CE0587">
                            <w:rPr>
                              <w:sz w:val="20"/>
                            </w:rPr>
                            <w:t>01</w:t>
                          </w:r>
                          <w:r>
                            <w:rPr>
                              <w:sz w:val="20"/>
                            </w:rPr>
                            <w:t>/201</w:t>
                          </w:r>
                          <w:r w:rsidR="00CE0587">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55943" id="_x0000_t202" coordsize="21600,21600" o:spt="202" path="m,l,21600r21600,l21600,xe">
              <v:stroke joinstyle="miter"/>
              <v:path gradientshapeok="t" o:connecttype="rect"/>
            </v:shapetype>
            <v:shape id="Text Box 1" o:spid="_x0000_s1026" type="#_x0000_t202" style="position:absolute;margin-left:62.95pt;margin-top:35.1pt;width:127.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" filled="f" stroked="f">
              <v:textbox inset="0,0,0,0">
                <w:txbxContent>
                  <w:p w14:paraId="5CDABC01" w14:textId="77777777" w:rsidR="0060554F" w:rsidRDefault="000B4A51">
                    <w:pPr>
                      <w:spacing w:before="10"/>
                      <w:ind w:left="20"/>
                      <w:rPr>
                        <w:sz w:val="20"/>
                      </w:rPr>
                    </w:pPr>
                    <w:r>
                      <w:rPr>
                        <w:sz w:val="20"/>
                      </w:rPr>
                      <w:t xml:space="preserve">Last Updated </w:t>
                    </w:r>
                    <w:r w:rsidR="00CE0587">
                      <w:rPr>
                        <w:sz w:val="20"/>
                      </w:rPr>
                      <w:t>5</w:t>
                    </w:r>
                    <w:r>
                      <w:rPr>
                        <w:sz w:val="20"/>
                      </w:rPr>
                      <w:t>/</w:t>
                    </w:r>
                    <w:r w:rsidR="00CE0587">
                      <w:rPr>
                        <w:sz w:val="20"/>
                      </w:rPr>
                      <w:t>01</w:t>
                    </w:r>
                    <w:r>
                      <w:rPr>
                        <w:sz w:val="20"/>
                      </w:rPr>
                      <w:t>/201</w:t>
                    </w:r>
                    <w:r w:rsidR="00CE0587">
                      <w:rPr>
                        <w:sz w:val="20"/>
                      </w:rPr>
                      <w:t>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3B89"/>
    <w:multiLevelType w:val="hybridMultilevel"/>
    <w:tmpl w:val="709C79AE"/>
    <w:lvl w:ilvl="0" w:tplc="6B54E646">
      <w:start w:val="1"/>
      <w:numFmt w:val="decimal"/>
      <w:lvlText w:val="%1."/>
      <w:lvlJc w:val="left"/>
      <w:pPr>
        <w:ind w:left="479" w:hanging="360"/>
      </w:pPr>
      <w:rPr>
        <w:rFonts w:ascii="Times New Roman" w:eastAsia="Times New Roman" w:hAnsi="Times New Roman" w:cs="Times New Roman" w:hint="default"/>
        <w:spacing w:val="-29"/>
        <w:w w:val="99"/>
        <w:sz w:val="24"/>
        <w:szCs w:val="24"/>
      </w:rPr>
    </w:lvl>
    <w:lvl w:ilvl="1" w:tplc="B352C2BE">
      <w:numFmt w:val="bullet"/>
      <w:lvlText w:val=""/>
      <w:lvlJc w:val="left"/>
      <w:pPr>
        <w:ind w:left="1199" w:hanging="360"/>
      </w:pPr>
      <w:rPr>
        <w:rFonts w:ascii="Symbol" w:eastAsia="Symbol" w:hAnsi="Symbol" w:cs="Symbol" w:hint="default"/>
        <w:w w:val="100"/>
        <w:sz w:val="24"/>
        <w:szCs w:val="24"/>
      </w:rPr>
    </w:lvl>
    <w:lvl w:ilvl="2" w:tplc="8A9264EA">
      <w:numFmt w:val="bullet"/>
      <w:lvlText w:val="•"/>
      <w:lvlJc w:val="left"/>
      <w:pPr>
        <w:ind w:left="1420" w:hanging="360"/>
      </w:pPr>
      <w:rPr>
        <w:rFonts w:hint="default"/>
      </w:rPr>
    </w:lvl>
    <w:lvl w:ilvl="3" w:tplc="E13073E8">
      <w:numFmt w:val="bullet"/>
      <w:lvlText w:val="•"/>
      <w:lvlJc w:val="left"/>
      <w:pPr>
        <w:ind w:left="1560" w:hanging="360"/>
      </w:pPr>
      <w:rPr>
        <w:rFonts w:hint="default"/>
      </w:rPr>
    </w:lvl>
    <w:lvl w:ilvl="4" w:tplc="0FF81CC2">
      <w:numFmt w:val="bullet"/>
      <w:lvlText w:val="•"/>
      <w:lvlJc w:val="left"/>
      <w:pPr>
        <w:ind w:left="2677" w:hanging="360"/>
      </w:pPr>
      <w:rPr>
        <w:rFonts w:hint="default"/>
      </w:rPr>
    </w:lvl>
    <w:lvl w:ilvl="5" w:tplc="81B456F4">
      <w:numFmt w:val="bullet"/>
      <w:lvlText w:val="•"/>
      <w:lvlJc w:val="left"/>
      <w:pPr>
        <w:ind w:left="3794" w:hanging="360"/>
      </w:pPr>
      <w:rPr>
        <w:rFonts w:hint="default"/>
      </w:rPr>
    </w:lvl>
    <w:lvl w:ilvl="6" w:tplc="52A8687E">
      <w:numFmt w:val="bullet"/>
      <w:lvlText w:val="•"/>
      <w:lvlJc w:val="left"/>
      <w:pPr>
        <w:ind w:left="4911" w:hanging="360"/>
      </w:pPr>
      <w:rPr>
        <w:rFonts w:hint="default"/>
      </w:rPr>
    </w:lvl>
    <w:lvl w:ilvl="7" w:tplc="00925B68">
      <w:numFmt w:val="bullet"/>
      <w:lvlText w:val="•"/>
      <w:lvlJc w:val="left"/>
      <w:pPr>
        <w:ind w:left="6028" w:hanging="360"/>
      </w:pPr>
      <w:rPr>
        <w:rFonts w:hint="default"/>
      </w:rPr>
    </w:lvl>
    <w:lvl w:ilvl="8" w:tplc="2A6AA39C">
      <w:numFmt w:val="bullet"/>
      <w:lvlText w:val="•"/>
      <w:lvlJc w:val="left"/>
      <w:pPr>
        <w:ind w:left="7145" w:hanging="360"/>
      </w:pPr>
      <w:rPr>
        <w:rFonts w:hint="default"/>
      </w:rPr>
    </w:lvl>
  </w:abstractNum>
  <w:abstractNum w:abstractNumId="1" w15:restartNumberingAfterBreak="0">
    <w:nsid w:val="4B4672BC"/>
    <w:multiLevelType w:val="hybridMultilevel"/>
    <w:tmpl w:val="AE9E53DA"/>
    <w:lvl w:ilvl="0" w:tplc="2176FB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34ED1A">
      <w:start w:val="1"/>
      <w:numFmt w:val="bullet"/>
      <w:lvlText w:val="o"/>
      <w:lvlJc w:val="left"/>
      <w:pPr>
        <w:ind w:left="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ACB07C">
      <w:start w:val="1"/>
      <w:numFmt w:val="bullet"/>
      <w:lvlRestart w:val="0"/>
      <w:lvlText w:val="•"/>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B8FCD6">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964594">
      <w:start w:val="1"/>
      <w:numFmt w:val="bullet"/>
      <w:lvlText w:val="o"/>
      <w:lvlJc w:val="left"/>
      <w:pPr>
        <w:ind w:left="2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9C170E">
      <w:start w:val="1"/>
      <w:numFmt w:val="bullet"/>
      <w:lvlText w:val="▪"/>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85C36">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E7B6C">
      <w:start w:val="1"/>
      <w:numFmt w:val="bullet"/>
      <w:lvlText w:val="o"/>
      <w:lvlJc w:val="left"/>
      <w:pPr>
        <w:ind w:left="4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E52EE">
      <w:start w:val="1"/>
      <w:numFmt w:val="bullet"/>
      <w:lvlText w:val="▪"/>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980FA0"/>
    <w:multiLevelType w:val="hybridMultilevel"/>
    <w:tmpl w:val="346ECAE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73AC4DE5"/>
    <w:multiLevelType w:val="hybridMultilevel"/>
    <w:tmpl w:val="0756DB1C"/>
    <w:lvl w:ilvl="0" w:tplc="4F8C45C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4F"/>
    <w:rsid w:val="000B4A51"/>
    <w:rsid w:val="00100947"/>
    <w:rsid w:val="00102584"/>
    <w:rsid w:val="00115898"/>
    <w:rsid w:val="0029597C"/>
    <w:rsid w:val="002B784A"/>
    <w:rsid w:val="00382C21"/>
    <w:rsid w:val="00395631"/>
    <w:rsid w:val="004D0904"/>
    <w:rsid w:val="004E6283"/>
    <w:rsid w:val="005356D9"/>
    <w:rsid w:val="00543443"/>
    <w:rsid w:val="00596586"/>
    <w:rsid w:val="005B235A"/>
    <w:rsid w:val="005F628D"/>
    <w:rsid w:val="0060554F"/>
    <w:rsid w:val="006A01A2"/>
    <w:rsid w:val="00797F10"/>
    <w:rsid w:val="007C4C0F"/>
    <w:rsid w:val="007D4F1F"/>
    <w:rsid w:val="008739E3"/>
    <w:rsid w:val="008F5C86"/>
    <w:rsid w:val="00962EAD"/>
    <w:rsid w:val="00A12FAE"/>
    <w:rsid w:val="00A254DE"/>
    <w:rsid w:val="00A818B0"/>
    <w:rsid w:val="00AA3D7C"/>
    <w:rsid w:val="00BE4B2A"/>
    <w:rsid w:val="00C5550E"/>
    <w:rsid w:val="00C5607F"/>
    <w:rsid w:val="00CE0587"/>
    <w:rsid w:val="00E05AF7"/>
    <w:rsid w:val="00E35E13"/>
    <w:rsid w:val="00E404EE"/>
    <w:rsid w:val="00E9124A"/>
    <w:rsid w:val="00EE30D6"/>
    <w:rsid w:val="00EF0878"/>
    <w:rsid w:val="00F24BB2"/>
    <w:rsid w:val="00F8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6DBD"/>
  <w15:docId w15:val="{FB2E6B50-369E-4867-B07E-AA0AD6C1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pPr>
      <w:spacing w:line="268" w:lineRule="exact"/>
      <w:ind w:right="331"/>
      <w:jc w:val="center"/>
    </w:pPr>
  </w:style>
  <w:style w:type="paragraph" w:styleId="Header">
    <w:name w:val="header"/>
    <w:basedOn w:val="Normal"/>
    <w:link w:val="HeaderChar"/>
    <w:uiPriority w:val="99"/>
    <w:unhideWhenUsed/>
    <w:rsid w:val="000B4A51"/>
    <w:pPr>
      <w:tabs>
        <w:tab w:val="center" w:pos="4680"/>
        <w:tab w:val="right" w:pos="9360"/>
      </w:tabs>
    </w:pPr>
  </w:style>
  <w:style w:type="character" w:customStyle="1" w:styleId="HeaderChar">
    <w:name w:val="Header Char"/>
    <w:basedOn w:val="DefaultParagraphFont"/>
    <w:link w:val="Header"/>
    <w:uiPriority w:val="99"/>
    <w:rsid w:val="000B4A51"/>
    <w:rPr>
      <w:rFonts w:ascii="Times New Roman" w:eastAsia="Times New Roman" w:hAnsi="Times New Roman" w:cs="Times New Roman"/>
    </w:rPr>
  </w:style>
  <w:style w:type="paragraph" w:styleId="Footer">
    <w:name w:val="footer"/>
    <w:basedOn w:val="Normal"/>
    <w:link w:val="FooterChar"/>
    <w:uiPriority w:val="99"/>
    <w:unhideWhenUsed/>
    <w:rsid w:val="000B4A51"/>
    <w:pPr>
      <w:tabs>
        <w:tab w:val="center" w:pos="4680"/>
        <w:tab w:val="right" w:pos="9360"/>
      </w:tabs>
    </w:pPr>
  </w:style>
  <w:style w:type="character" w:customStyle="1" w:styleId="FooterChar">
    <w:name w:val="Footer Char"/>
    <w:basedOn w:val="DefaultParagraphFont"/>
    <w:link w:val="Footer"/>
    <w:uiPriority w:val="99"/>
    <w:rsid w:val="000B4A5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818B0"/>
    <w:rPr>
      <w:sz w:val="20"/>
      <w:szCs w:val="20"/>
    </w:rPr>
  </w:style>
  <w:style w:type="character" w:customStyle="1" w:styleId="FootnoteTextChar">
    <w:name w:val="Footnote Text Char"/>
    <w:basedOn w:val="DefaultParagraphFont"/>
    <w:link w:val="FootnoteText"/>
    <w:uiPriority w:val="99"/>
    <w:semiHidden/>
    <w:rsid w:val="00A818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18B0"/>
    <w:rPr>
      <w:vertAlign w:val="superscript"/>
    </w:rPr>
  </w:style>
  <w:style w:type="paragraph" w:styleId="BalloonText">
    <w:name w:val="Balloon Text"/>
    <w:basedOn w:val="Normal"/>
    <w:link w:val="BalloonTextChar"/>
    <w:uiPriority w:val="99"/>
    <w:semiHidden/>
    <w:unhideWhenUsed/>
    <w:rsid w:val="00382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C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E0587"/>
    <w:rPr>
      <w:sz w:val="16"/>
      <w:szCs w:val="16"/>
    </w:rPr>
  </w:style>
  <w:style w:type="paragraph" w:styleId="CommentText">
    <w:name w:val="annotation text"/>
    <w:basedOn w:val="Normal"/>
    <w:link w:val="CommentTextChar"/>
    <w:uiPriority w:val="99"/>
    <w:semiHidden/>
    <w:unhideWhenUsed/>
    <w:rsid w:val="00CE0587"/>
    <w:rPr>
      <w:sz w:val="20"/>
      <w:szCs w:val="20"/>
    </w:rPr>
  </w:style>
  <w:style w:type="character" w:customStyle="1" w:styleId="CommentTextChar">
    <w:name w:val="Comment Text Char"/>
    <w:basedOn w:val="DefaultParagraphFont"/>
    <w:link w:val="CommentText"/>
    <w:uiPriority w:val="99"/>
    <w:semiHidden/>
    <w:rsid w:val="00CE0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587"/>
    <w:rPr>
      <w:b/>
      <w:bCs/>
    </w:rPr>
  </w:style>
  <w:style w:type="character" w:customStyle="1" w:styleId="CommentSubjectChar">
    <w:name w:val="Comment Subject Char"/>
    <w:basedOn w:val="CommentTextChar"/>
    <w:link w:val="CommentSubject"/>
    <w:uiPriority w:val="99"/>
    <w:semiHidden/>
    <w:rsid w:val="00CE05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C@cms.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988A-9FC4-4D23-8937-D6248FE1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Medicare Fee-For-Service Recovery Audit Program</vt:lpstr>
    </vt:vector>
  </TitlesOfParts>
  <Company>CMS</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Fee-For-Service Recovery Audit Program</dc:title>
  <dc:creator>Connie Leonard</dc:creator>
  <cp:lastModifiedBy>Alisa Overgaard</cp:lastModifiedBy>
  <cp:revision>2</cp:revision>
  <dcterms:created xsi:type="dcterms:W3CDTF">2019-11-07T19:13:00Z</dcterms:created>
  <dcterms:modified xsi:type="dcterms:W3CDTF">2019-11-07T19:13:00Z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Acrobat PDFMaker 15 for Word</vt:lpwstr>
  </property>
  <property fmtid="{D5CDD505-2E9C-101B-9397-08002B2CF9AE}" pid="4" name="LastSaved">
    <vt:filetime>2017-12-22T00:00:00Z</vt:filetime>
  </property>
  <property fmtid="{D5CDD505-2E9C-101B-9397-08002B2CF9AE}" pid="5" name="_NewReviewCycle">
    <vt:lpwstr/>
  </property>
  <property fmtid="{D5CDD505-2E9C-101B-9397-08002B2CF9AE}" pid="6" name="_AdHocReviewCycleID">
    <vt:i4>-1779879769</vt:i4>
  </property>
  <property fmtid="{D5CDD505-2E9C-101B-9397-08002B2CF9AE}" pid="7" name="_EmailSubject">
    <vt:lpwstr>Website Posting</vt:lpwstr>
  </property>
  <property fmtid="{D5CDD505-2E9C-101B-9397-08002B2CF9AE}" pid="8" name="_AuthorEmail">
    <vt:lpwstr>Ashley.Badami@cms.hhs.gov</vt:lpwstr>
  </property>
  <property fmtid="{D5CDD505-2E9C-101B-9397-08002B2CF9AE}" pid="9" name="_AuthorEmailDisplayName">
    <vt:lpwstr>Badami, Ashley M. (CMS/CPI)</vt:lpwstr>
  </property>
  <property fmtid="{D5CDD505-2E9C-101B-9397-08002B2CF9AE}" pid="10" name="_ReviewingToolsShownOnce">
    <vt:lpwstr/>
  </property>
</Properties>
</file>